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7871190" w:name="document"/>
    <w:bookmarkEnd w:id="67871190"/>
    <w:p/>
    <w:p>
      <w:pPr>
        <w:widowControl w:val="on"/>
        <w:pBdr/>
        <w:spacing w:before="0" w:after="280" w:line="240" w:lineRule="auto"/>
        <w:ind w:left="0" w:right="0"/>
        <w:jc w:val="left"/>
      </w:pPr>
      <w:r>
        <w:rPr>
          <w:rFonts w:ascii="Arial" w:hAnsi="Arial" w:eastAsia="Arial" w:cs="Arial"/>
          <w:color w:val="363A40"/>
          <w:sz w:val="24"/>
          <w:szCs w:val="24"/>
        </w:rPr>
        <w:t xml:space="preserve">Dokument-ID: 1204825 | Andrea Futterknecht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Grunderwerbsteuer Neu beim Share Deal (ab 01.07.2025)</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Allgemeines</w:t>
      </w:r>
    </w:p>
    <w:p>
      <w:pPr>
        <w:numPr>
          <w:ilvl w:val="0"/>
          <w:numId w:val="658347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Share Deals kommt es durch die Änderungen des
Budgetbegleitgesetzes 2025 betreffend Grunderwerbsteuer (GrESt) zu
einer Ausweitung der Besteuerung.</w:t>
      </w:r>
    </w:p>
    <w:p>
      <w:pPr>
        <w:numPr>
          <w:ilvl w:val="0"/>
          <w:numId w:val="658347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Hauptpunkte der Reform umfassen:
</w:t>
      </w:r>
    </w:p>
    <w:p>
      <w:pPr>
        <w:numPr>
          <w:ilvl w:val="1"/>
          <w:numId w:val="658347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Absenkung der Beteiligungsschwelle</w:t>
      </w:r>
    </w:p>
    <w:p>
      <w:pPr>
        <w:numPr>
          <w:ilvl w:val="1"/>
          <w:numId w:val="658347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Einbeziehung mittelbarer Anteilsverschiebungen</w:t>
      </w:r>
    </w:p>
    <w:p>
      <w:pPr>
        <w:numPr>
          <w:ilvl w:val="1"/>
          <w:numId w:val="658347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Einführung des neuen Zurechnungstatbestands der
„Erwerbergruppe“</w:t>
      </w:r>
    </w:p>
    <w:p>
      <w:pPr>
        <w:numPr>
          <w:ilvl w:val="1"/>
          <w:numId w:val="658347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Schaffung eines eigenen Tatbestands für
„Immobiliengesellschaften“</w:t>
      </w:r>
    </w:p>
    <w:p>
      <w:pPr>
        <w:numPr>
          <w:ilvl w:val="0"/>
          <w:numId w:val="658347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Gesetzgeber möchte insbesondere großvolumige
Immobilientransaktionen, die in Form von Share Deals strukturiert
werden, umfassender der GrESt zu unterwerfen und damit den
Budgethaushalt zu konsolidieren.</w:t>
      </w:r>
    </w:p>
    <w:p>
      <w:pPr>
        <w:numPr>
          <w:ilvl w:val="0"/>
          <w:numId w:val="65834723"/>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Inkrafttreten:</w:t>
      </w:r>
      <w:r>
        <w:rPr>
          <w:rFonts w:ascii="Arial" w:hAnsi="Arial" w:eastAsia="Arial" w:cs="Arial"/>
          <w:color w:val="000000"/>
          <w:sz w:val="20"/>
          <w:szCs w:val="20"/>
        </w:rPr>
        <w:br/>
        <w:t xml:space="preserve">Die Neuregelungen traten mit 1. Juli 2025 in Kraft und sind auf
Erwerbsvorgänge anwendbar, bei denen die Steuerschuld nach dem 30.
Juni 2025 entsteht. Zu beachten ist insbesondere, dass ein
erstmaliges Erreichen der 75 %-Grenze ab dem Inkrafttreten
bereits einen steuerpflichtigen Vorgang darstellen kann, sofern
nicht bereits ein Tatbestand nach bisherigem oder künftigem Recht
verwirklicht wurde.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GrESt-Tatbestände</w:t>
      </w:r>
    </w:p>
    <w:p>
      <w:pPr>
        <w:numPr>
          <w:ilvl w:val="0"/>
          <w:numId w:val="2846097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wie vor lösen zwei Tatbestände GrESt im Rahmen von
Anteilsübertragungen aus, konkret folgende Vorgänge, wenn zum
Vermögen einer Personen- oder Kapitalgesellschaft ein inländisches
Grundstück gehört:
</w:t>
      </w:r>
    </w:p>
    <w:p>
      <w:pPr>
        <w:numPr>
          <w:ilvl w:val="1"/>
          <w:numId w:val="2846097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Gesellschafterwechsel sowie</w:t>
      </w:r>
    </w:p>
    <w:p>
      <w:pPr>
        <w:numPr>
          <w:ilvl w:val="1"/>
          <w:numId w:val="2846097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Anteilsvereinigung bzw (-übertragung)</w:t>
      </w:r>
    </w:p>
    <w:p>
      <w:pPr>
        <w:numPr>
          <w:ilvl w:val="0"/>
          <w:numId w:val="2846097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Beide Tatbestände (bis 01.07.2025 noch getrennt in § 1
Abs 2a GrEStG und § 1 Abs 3 GrEStG) sind nunmehr in
§ 1 Abs 3 GrEStG geregelt; vorrangiger Tatbestand bleibt
(wie bisher) der Gesellschafterwechsel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Gesellschafterwechsel als GrESt-Auslöser</w:t>
      </w:r>
    </w:p>
    <w:p>
      <w:pPr>
        <w:numPr>
          <w:ilvl w:val="0"/>
          <w:numId w:val="49337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Änderung des Gesellschafterbestandes dergestalt, dass
innerhalb von sieben Jahren mindestens 75 % der Anteile am
Gesellschaftsvermögen oder der Gesellschaft unmittelbar auf neue
Gesellschafter übergehen, ist nach § 1 Abs 3 Z 1
GrEStG grunderwerbsteuerauslösend.</w:t>
      </w:r>
    </w:p>
    <w:p>
      <w:pPr>
        <w:numPr>
          <w:ilvl w:val="0"/>
          <w:numId w:val="49337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Beobachtungszeitraum wurde durch das Budgetbegleitgesetz
von fünf auf sieben Jahre verlängert. Als Reaktion auf
steuervermeidende Gestaltungen („RETT-Blocker“) wurde die bisherige
Beteiligungsschwelle von 95 % auf 75 % abgesenkt. Die
Wahl dieser Schwelle orientiert sich an der
gesellschaftsrechtlichen Sperrminorität nach GmbHG und AktG.</w:t>
      </w:r>
    </w:p>
    <w:p>
      <w:pPr>
        <w:numPr>
          <w:ilvl w:val="0"/>
          <w:numId w:val="49337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Tatbestand des Gesellschafterwechsels ist nunmehr auch auf
Kapitalgesellschaften anzuwenden, wobei börsennotierte
Gesellschaften – mangels Transparenz – weiterhin ausgenommen
bleiben.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Anteilsvereinigung und -übertragung</w:t>
      </w:r>
    </w:p>
    <w:p>
      <w:pPr>
        <w:numPr>
          <w:ilvl w:val="0"/>
          <w:numId w:val="3814647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Kommt eine Besteuerung unter dem Titel Gesellschafterwechsel
(§ 1 Abs 3 Z 1 GrEStG) nicht in Betracht kommt,
unterliegt der Grunderwerbsteuer außerdem,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ein Rechtsgeschäft, das den Anspruch auf Übertragung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eines oder mehrerer Anteile am Gesellschaftsvermögen oder der
Gesellschaft begründet, wenn durch die Übertragung unmittelbar oder
mittelbar mindestens 75 % aller Anteile am
Gesellschaftsvermögen oder der Gesellschaft in der Hand eines
Erwerbers oder, sofern dies nicht gegeben ist, in der Hand einer
Erwerbergruppe vereinigt werden würden, oder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mindestens 75 % aller Anteile am Gesellschaftsvermögen
oder der Gesellschaft auf einen Erwerber oder, sofern dies nicht
gegeben ist, eine Erwerbergruppe begründet;</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 wenn kein schuldrechtliches Geschäft iSd lit a
vorausgegangen ist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Vereinigung unmittelbar oder mittelbar von mindestens
75 % aller Anteile am Gesellschaftsvermögen oder der
Gesellschaft in der Hand eines Erwerbers oder, sofern dies nicht
gegeben ist, in der Hand einer Erwerbergruppe, oder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unmittelbare oder mittelbare Erwerb von mindestens 75 %
aller Anteile am Gesellschaftsvermögen oder der Gesellschaft durch
einen Erwerber oder, sofern dies nicht gegeben ist, eine
Erwerbergruppe.</w:t>
            </w:r>
          </w:p>
        </w:tc>
      </w:tr>
    </w:tbl>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Bestimmung der mittelbaren Beteiligung gem lit a
und b sind die prozentuellen Beteiligungen auf jeder Ebene
miteinander zu multiplizieren. Erfüllt derselbe Vorgang die
Voraussetzungen für einen unmittelbaren und mittelbaren
Erwerbsvorgang, geht der unmittelbare Erwerbsvorgangs vor. Erfüllt
derselbe Vorgang die Voraussetzungen für mehrere mittelbare
Erwerbsvorgänge, geht jener mittelbare Erwerbsvorgang vor, der der
grundstücksbesitzenden Personen- oder Kapitalgesellschaft am
nächsten liegt.</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der Ermittlung der Beteiligungsschwelle sind eigene Anteile
der Gesellschaft außer Acht zu lassen.</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Treuhändig gehaltene Gesellschaftsanteile sind dem Treugeber
zuzurechnen (§ 1 Abs 1 Z 7 GrEStG).</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Auch internationale Sachverhalte – etwa durch den Erwerb von
Anteilen an zwischengeschalteten ausländischen Gesellschaften –
können nun der GrESt unterliegen, sofern die Durchrechnung zu einer
entsprechenden mittelbaren Beteiligung führt.</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w:t>
      </w:r>
      <w:r>
        <w:rPr>
          <w:rFonts w:ascii="Arial" w:hAnsi="Arial" w:eastAsia="Arial" w:cs="Arial"/>
          <w:b/>
          <w:bCs/>
          <w:color w:val="000000"/>
          <w:sz w:val="20"/>
          <w:szCs w:val="20"/>
        </w:rPr>
        <w:t xml:space="preserve">Erwerbergruppe</w:t>
      </w:r>
      <w:r>
        <w:rPr>
          <w:rFonts w:ascii="Arial" w:hAnsi="Arial" w:eastAsia="Arial" w:cs="Arial"/>
          <w:color w:val="000000"/>
          <w:sz w:val="20"/>
          <w:szCs w:val="20"/>
        </w:rPr>
        <w:t xml:space="preserve"> liegt vor, wenn Erwerber
zu wirtschaftlichen Zwecken unter einheitlicher Leitung
zusammengefasst sind oder aufgrund von Beteiligungen oder sonst
unmittelbar oder mittelbar unter dem beherrschenden Einfluss einer
Person stehen. Zu einer Erwerbergruppe gehören auch Personen, die
die einheitliche Leitung oder den beherrschenden Einfluss
ausüben.</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Erwerbergruppenbegriff lehnt sich grundsätzlich an den
gesellschaftsrechtlichen Konzernbegriff (§ 15 AktG, § 115
GmbHG) an, weicht aber hinsichtlich seiner Auslegung möglicherweise
ab. Die einheitliche Leitung ist zentral, wobei auch eine
Beteiligung unter 20 % zur Annahme eines beherrschenden
Einflusses ausreichen kann.</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Neudefinition ersetzt die bisher klar konturierte
Bezugnahme auf die steuerliche Unternehmensgruppe, was in der
Praxis zu erheblichen Abgrenzungsfragen führen dürfte.</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Umgründungen</w:t>
      </w:r>
      <w:r>
        <w:rPr>
          <w:rFonts w:ascii="Arial" w:hAnsi="Arial" w:eastAsia="Arial" w:cs="Arial"/>
          <w:color w:val="000000"/>
          <w:sz w:val="20"/>
          <w:szCs w:val="20"/>
        </w:rPr>
        <w:t xml:space="preserve"> im Sinne des
Umgründungssteuergesetzes innerhalb einer Erwerbergruppe, die
lediglich zu mittelbaren Anteilsverschiebungen führen, sind
ausgenommen (§ 1 Abs 1 Z 5 GrEStG). Damit wird
konzerninternen Reorganisationsmaßnahmen, die nicht primär
grundstücksbezogen sind, Rechnung getragen. Direkte
umgründungsbedingte Anteilsverschiebungen bilden allerdings keine
Ausnahme.</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Jedes Grundstück ist gesondert zu beurteilen. Ein inländisches
Grundstück gehört zum Vermögen einer Personen- oder
Kapitalgesellschaft, wenn sie das Grundstück durch einen
Rechtsvorgang gem § 1 Abs 1 oder 2 GrEStG erworben oder
das Grundstück selbst hergestellt hat.</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in § 1 Abs 2 GrEStG bezeichneter Rechtsvorgang
unterliegt der Steuer auch dann, wenn ihm einer der in § 1
Abs 1 GrEStG bezeichneten Rechtsvorgänge vorausgegangen ist.
Die Steuer wird jedoch nur insoweit erhoben, als die
Bemessungsgrundlage für den späteren Rechtsvorgang den Betrag
übersteigt, von dem beim vorausgegangenen Rechtsvorgang die Steuer
berechnet worden ist.</w:t>
      </w:r>
    </w:p>
    <w:p>
      <w:pPr>
        <w:numPr>
          <w:ilvl w:val="0"/>
          <w:numId w:val="2969593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in § 1 Abs 3 GrEStG bezeichneter Rechtsvorgang
unterliegt der Steuer auch dann, wenn ein in § 1 Abs 3
GrEStG bezeichneter Rechtsvorgang vorausgegangen ist. Sofern die
Rechtsvorgänge nach § 1 Abs 3 GrEStG durch denselben
Erwerber oder dieselbe Erwerbergruppe verwirklicht werden, wird die
Steuer nur insoweit erhoben, als die Bemessungsgrundlage für den
späteren Rechtsvorgang den Betrag übersteigt, von dem beim
vorausgegangenen Rechtsvorgang die Steuer berechnet worden
ist.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95933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8146478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9337933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84609766">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834723">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935974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8815578">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822183">
    <w:multiLevelType w:val="hybridMultilevel"/>
    <w:lvl w:ilvl="0" w:tplc="28501432">
      <w:start w:val="1"/>
      <w:numFmt w:val="decimal"/>
      <w:lvlText w:val="%1."/>
      <w:lvlJc w:val="left"/>
      <w:pPr>
        <w:ind w:left="720" w:hanging="360"/>
      </w:pPr>
    </w:lvl>
    <w:lvl w:ilvl="1" w:tplc="28501432" w:tentative="1">
      <w:start w:val="1"/>
      <w:numFmt w:val="lowerLetter"/>
      <w:lvlText w:val="%2."/>
      <w:lvlJc w:val="left"/>
      <w:pPr>
        <w:ind w:left="1440" w:hanging="360"/>
      </w:pPr>
    </w:lvl>
    <w:lvl w:ilvl="2" w:tplc="28501432" w:tentative="1">
      <w:start w:val="1"/>
      <w:numFmt w:val="lowerRoman"/>
      <w:lvlText w:val="%3."/>
      <w:lvlJc w:val="right"/>
      <w:pPr>
        <w:ind w:left="2160" w:hanging="180"/>
      </w:pPr>
    </w:lvl>
    <w:lvl w:ilvl="3" w:tplc="28501432" w:tentative="1">
      <w:start w:val="1"/>
      <w:numFmt w:val="decimal"/>
      <w:lvlText w:val="%4."/>
      <w:lvlJc w:val="left"/>
      <w:pPr>
        <w:ind w:left="2880" w:hanging="360"/>
      </w:pPr>
    </w:lvl>
    <w:lvl w:ilvl="4" w:tplc="28501432" w:tentative="1">
      <w:start w:val="1"/>
      <w:numFmt w:val="lowerLetter"/>
      <w:lvlText w:val="%5."/>
      <w:lvlJc w:val="left"/>
      <w:pPr>
        <w:ind w:left="3600" w:hanging="360"/>
      </w:pPr>
    </w:lvl>
    <w:lvl w:ilvl="5" w:tplc="28501432" w:tentative="1">
      <w:start w:val="1"/>
      <w:numFmt w:val="lowerRoman"/>
      <w:lvlText w:val="%6."/>
      <w:lvlJc w:val="right"/>
      <w:pPr>
        <w:ind w:left="4320" w:hanging="180"/>
      </w:pPr>
    </w:lvl>
    <w:lvl w:ilvl="6" w:tplc="28501432" w:tentative="1">
      <w:start w:val="1"/>
      <w:numFmt w:val="decimal"/>
      <w:lvlText w:val="%7."/>
      <w:lvlJc w:val="left"/>
      <w:pPr>
        <w:ind w:left="5040" w:hanging="360"/>
      </w:pPr>
    </w:lvl>
    <w:lvl w:ilvl="7" w:tplc="28501432" w:tentative="1">
      <w:start w:val="1"/>
      <w:numFmt w:val="lowerLetter"/>
      <w:lvlText w:val="%8."/>
      <w:lvlJc w:val="left"/>
      <w:pPr>
        <w:ind w:left="5760" w:hanging="360"/>
      </w:pPr>
    </w:lvl>
    <w:lvl w:ilvl="8" w:tplc="28501432" w:tentative="1">
      <w:start w:val="1"/>
      <w:numFmt w:val="lowerRoman"/>
      <w:lvlText w:val="%9."/>
      <w:lvlJc w:val="right"/>
      <w:pPr>
        <w:ind w:left="6480" w:hanging="180"/>
      </w:pPr>
    </w:lvl>
  </w:abstractNum>
  <w:abstractNum w:abstractNumId="54822182">
    <w:multiLevelType w:val="hybridMultilevel"/>
    <w:lvl w:ilvl="0" w:tplc="78302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22182">
    <w:abstractNumId w:val="54822182"/>
  </w:num>
  <w:num w:numId="54822183">
    <w:abstractNumId w:val="54822183"/>
  </w:num>
  <w:num w:numId="358815578">
    <w:abstractNumId w:val="358815578"/>
  </w:num>
  <w:num w:numId="469359741">
    <w:abstractNumId w:val="469359741"/>
  </w:num>
  <w:num w:numId="65834723">
    <w:abstractNumId w:val="65834723"/>
  </w:num>
  <w:num w:numId="284609766">
    <w:abstractNumId w:val="284609766"/>
  </w:num>
  <w:num w:numId="493379331">
    <w:abstractNumId w:val="493379331"/>
  </w:num>
  <w:num w:numId="381464781">
    <w:abstractNumId w:val="381464781"/>
  </w:num>
  <w:num w:numId="296959331">
    <w:abstractNumId w:val="296959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54938893" Type="http://schemas.openxmlformats.org/officeDocument/2006/relationships/numbering" Target="numbering.xml"/><Relationship Id="rId70561846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