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2295315" w:name="document"/>
    <w:bookmarkEnd w:id="32295315"/>
    <w:p/>
    <w:p>
      <w:pPr>
        <w:widowControl w:val="on"/>
        <w:pBdr/>
        <w:spacing w:before="0" w:after="280" w:line="240" w:lineRule="auto"/>
        <w:ind w:left="0" w:right="0"/>
        <w:jc w:val="left"/>
      </w:pPr>
      <w:r>
        <w:rPr>
          <w:rFonts w:ascii="Arial" w:hAnsi="Arial" w:eastAsia="Arial" w:cs="Arial"/>
          <w:color w:val="363A40"/>
          <w:sz w:val="24"/>
          <w:szCs w:val="24"/>
        </w:rPr>
        <w:t xml:space="preserve">Dokument-ID: 437576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Verschmelzungsvertrag (Verschmelzung der Tochter auf die
100%ige Mutter)</w:t>
      </w:r>
    </w:p>
    <w:p>
      <w:pPr>
        <w:widowControl w:val="on"/>
        <w:pBdr/>
        <w:spacing w:before="140" w:after="240" w:line="288" w:lineRule="auto"/>
        <w:ind w:left="0" w:right="0"/>
        <w:jc w:val="left"/>
      </w:pPr>
      <w:r>
        <w:rPr>
          <w:rFonts w:ascii="Arial" w:hAnsi="Arial" w:eastAsia="Arial" w:cs="Arial"/>
          <w:color w:val="000000"/>
          <w:sz w:val="20"/>
          <w:szCs w:val="20"/>
        </w:rPr>
        <w:t xml:space="preserve">(Notariatsakt – Mantel hier nicht dargestellt)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1. Vertragsparteien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Firmenbuch des Handelgerichtes Wien ist unter FN 11111a die
Kassandra IT Services GmbH – nachfolgend kurz als übertragende
Gesellschaft bezeichnet – mit dem Sitz in Wien eingetragen.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Firmenbuch des Handelgerichtes Wien ist unter FN 22222b die
Kassandra Unternehmensberatung GmbH – nachfolgend kurz als
übernehmende Gesellschaft bezeichnet – mit dem Sitz in Wien
eingetragen. Die übertragende Gesellschaft besteht seit
05.05.2005.</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übernehmende Gesellschaft ist Alleingesellschafterin der
übertragenden Gesellschaft.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Verschmelzung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übertragende Gesellschaft wird durch diesen Vertrag
rückwirkend zum Verschmelzungsstichtag durch die Übertragung ihres
Vermögens als Ganzes mit allen Rechten und Pflichten gemäß der
Schlussbilanz im Wege der Gesamtrechtsnachfolge und unter Verzicht
auf die Liquidation mit der übernehmenden Gesellschaft unter
Inanspruchnahme der umgründungssteuerrechtlichen Begünstigungen des
Art I UmgrStG verschmolzen.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Verschmelzung wird auf Grundlage der Schlussbilanz der
übertragenden Gesellschaft zum 31.12.2011 durchgeführt.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dem Ablauf des Verschmelzungsstichtages ist die übertragende
Gesellschaft unter Ausschluss der Liquidation aufgelöst und ihr
gesamtes Vermögen im Wege der Gesamtrechtsnachfolge auf die
übernehmende Gesellschaft übergegangen.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Durchführung der
Verschmelzung</w:t>
      </w:r>
    </w:p>
    <w:p>
      <w:pPr>
        <w:widowControl w:val="on"/>
        <w:pBdr/>
        <w:spacing w:before="140" w:after="240" w:line="288" w:lineRule="auto"/>
        <w:ind w:left="0" w:right="0"/>
        <w:jc w:val="left"/>
      </w:pPr>
      <w:r>
        <w:rPr>
          <w:rFonts w:ascii="Arial" w:hAnsi="Arial" w:eastAsia="Arial" w:cs="Arial"/>
          <w:color w:val="000000"/>
          <w:sz w:val="20"/>
          <w:szCs w:val="20"/>
        </w:rPr>
        <w:t xml:space="preserve">Im Hinblick auf die unter Punkt 1. dargestellten
Beteiligungsverhältnisse unterbleiben</w:t>
      </w:r>
    </w:p>
    <w:p>
      <w:pPr>
        <w:numPr>
          <w:ilvl w:val="0"/>
          <w:numId w:val="12954775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Festlegung eines Umtauschverhältnisses sowie bare
Zuzahlungen,</w:t>
      </w:r>
    </w:p>
    <w:p>
      <w:pPr>
        <w:numPr>
          <w:ilvl w:val="0"/>
          <w:numId w:val="12954775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Gewährung von Anteilen an der übernehmenden Gesellschaft
gem § 96 Abs 1 Z 2 GmbHG iVm § 224
AktG,</w:t>
      </w:r>
    </w:p>
    <w:p>
      <w:pPr>
        <w:numPr>
          <w:ilvl w:val="0"/>
          <w:numId w:val="12954775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Bestimmung des Zeitpunkts, von dem an neu gewährte
Geschäftsanteile einen Anspruch auf einen Anteil am Bilanzgewinn
gewähren, sowie</w:t>
      </w:r>
    </w:p>
    <w:p>
      <w:pPr>
        <w:numPr>
          <w:ilvl w:val="0"/>
          <w:numId w:val="12954775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Erhöhung des Stammkapitals bei der übernehmenden
Gesellschaft.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Vereinfachte Verschmelzung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findet gem § 96 Abs 2 GmbHG in Verbindung mit
§ 232 Abs 1 AktG keine Prüfung der Verschmelzung
statt.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 Verschmelzungsbericht der Geschäftsführer
gem § 220a AktG ist nach § 96 Abs 2 GmbHG iVm
§ 232 Abs 1 AktG nicht erforderlich.</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Verschmelzungsstichtag</w:t>
      </w:r>
    </w:p>
    <w:p>
      <w:pPr>
        <w:widowControl w:val="on"/>
        <w:pBdr/>
        <w:spacing w:before="140" w:after="240" w:line="288" w:lineRule="auto"/>
        <w:ind w:left="0" w:right="0"/>
        <w:jc w:val="left"/>
      </w:pPr>
      <w:r>
        <w:rPr>
          <w:rFonts w:ascii="Arial" w:hAnsi="Arial" w:eastAsia="Arial" w:cs="Arial"/>
          <w:color w:val="000000"/>
          <w:sz w:val="20"/>
          <w:szCs w:val="20"/>
        </w:rPr>
        <w:t xml:space="preserve">Verschmelzungsstichtag ist der 31.12.2011. Der Verschmelzung
wird die Schlussbilanz der übertragenden Gesellschaft zum
31.12.2011 samt Anhang zugrunde gelegt. Mit Beginn des 01.01.2012
gelten alle Handlungen der übertragenden Gesellschaft als für
Rechnung der übernehmenden Gesellschaft vorgenommen.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Rechtsübergang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Aufgrund des mit der Verschmelzung verbundenen (und auch hiermit
ausdrücklich vereinbarten) Übergangs des Vermögens der
übertragenden Gesellschaft auf die übernehmende Gesellschaft im
Wege der Gesamtrechtsnachfolge gehen alle Vermögensgegenstände,
Forderungen und Verbindlichkeiten der übertragenden Gesellschaft
mit Eintragung der Verschmelzung im Firmenbuch auf die übernehmende
Gesellschaft über, ohne dass gesonderte Übertragungsakte
erforderlich sind.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Alle bis zum Ablauf des 31.12.2011 fällig gewordenen Nutzungen
und Lasten des übertragenen Vermögens sind in der Schlussbilanz zum
Verschmelzungsstichtag voll berücksichtigt.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 Ablauf des 31.12.2011 treffen alle Nutzungen und Lasten des
übertragenen Vermögens die übernehmende Gesellschaft, die im Wege
der Gesamtrechtsnachfolge aufgrund dieses Verschmelzungsvorganges
auch in alle schwebenden Geschäfte und Verträge der übertragenden
Gesellschaft eintritt.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übertragende Gesellschaft erklärt, dass zum
Verschmelzungsstichtag alle bilanzierungspflichtigen Aktiven der
Gesellschaft in der Schlussbilanz (Anlage ./1) aufscheinen und dass
zum Verschmelzungsstichtag außer den in der Schlussbilanz
verzeichneten Passiven keine weiteren Verbindlichkeiten der
Gesellschaft bestehen. Als übertragen gelten auch alle
Vermögensgegenstände, Nutzungen und Lasten sowie sämtliche Rechts-
und Vertragsverhältnisse, die in dieser Schlussbilanz nicht
gesondert ausgewiesen werden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übernehmende Gesellschaft bestätigt, dass sie die der
Verschmelzung zugrunde liegende Schlussbilanz der übertragenden
Gesellschaft zum 31.12.2011 eingehend geprüft hat und diese
anerkennt. Über die seit dem 31.12.2011 von der übertragenden
Gesellschaft getätigten Geschäfte hat sich die übernehmende
Gesellschaft durch Bucheinsicht sowie durch Einholung von
Auskünften unterrichtet. Die übertragende Gesellschaft erklärt, die
seit dem 31.12.2011 bis zum Tag des Abschlusses dieses Vertrages
getätigten Geschäfte gegenüber der übernehmenden Gesellschaft
vollständig und richtig offengelegt zu haben.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Besondere Rechte und
Vorteile</w:t>
      </w:r>
    </w:p>
    <w:p>
      <w:pPr>
        <w:widowControl w:val="on"/>
        <w:pBdr/>
        <w:spacing w:before="140" w:after="240" w:line="288" w:lineRule="auto"/>
        <w:ind w:left="0" w:right="0"/>
        <w:jc w:val="left"/>
      </w:pPr>
      <w:r>
        <w:rPr>
          <w:rFonts w:ascii="Arial" w:hAnsi="Arial" w:eastAsia="Arial" w:cs="Arial"/>
          <w:color w:val="000000"/>
          <w:sz w:val="20"/>
          <w:szCs w:val="20"/>
        </w:rPr>
        <w:t xml:space="preserve">Die übernehmende Gesellschaft gewährt keine Sonderrechte oder
anderen Rechte gem § 96 Abs 2 GmbHG iVm § 220
Abs 2 Z 6 AktG. Weiters werden keine besonderen Vorteile
gem § 96 Abs 2 GmbHG iVm § 220 Abs 2
Z 7 AktG gewährt.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Buchwertfortführung</w:t>
      </w:r>
    </w:p>
    <w:p>
      <w:pPr>
        <w:widowControl w:val="on"/>
        <w:pBdr/>
        <w:spacing w:before="140" w:after="240" w:line="288" w:lineRule="auto"/>
        <w:ind w:left="0" w:right="0"/>
        <w:jc w:val="left"/>
      </w:pPr>
      <w:r>
        <w:rPr>
          <w:rFonts w:ascii="Arial" w:hAnsi="Arial" w:eastAsia="Arial" w:cs="Arial"/>
          <w:color w:val="000000"/>
          <w:sz w:val="20"/>
          <w:szCs w:val="20"/>
        </w:rPr>
        <w:t xml:space="preserve">Die übernehmende Gesellschaft wird die Buchwerte der Aktiven und
Passiven des übertragenen Vermögens laut Schlussbilanz der
übertragenden Gesellschaft zum 31.12.2011 in ihrer Bilanz
gem § 202 Abs 2 Z 1 UGB fortführen.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Umgründungssteuerrechtliche
Begünstigungen/Steuern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gegenständlichen Verschmelzungsvorgang werden die
umgründungssteuerrechtlichen Begünstigungen des Art I UmgrStG
in Anspruch genommen. Die Verschmelzung erfolgt unter steuerlicher
Buchwertfortführung.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 die übertragende Gesellschaft bereits länger als zwei Jahre
besteht, ist die gegenständliche Verschmelzung gem § 6
Abs 5 UmgrStG bzw gem § 6 Abs 1 Z 3
Kapitalverkehrsteuergesetz von den Kapitalverkehrsteuern
befreit.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 die übertragende Gesellschaft über kein Liegenschaftsvermögen
iSd § 2 GrEStG verfügt, fallen im Zuge der Verschmelzung weder
Grunderwerbsteuer noch eine Eintragungsgebühr für das Grundbuch
an.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Kosten</w:t>
      </w:r>
    </w:p>
    <w:p>
      <w:pPr>
        <w:widowControl w:val="on"/>
        <w:pBdr/>
        <w:spacing w:before="140" w:after="240" w:line="288" w:lineRule="auto"/>
        <w:ind w:left="0" w:right="0"/>
        <w:jc w:val="left"/>
      </w:pPr>
      <w:r>
        <w:rPr>
          <w:rFonts w:ascii="Arial" w:hAnsi="Arial" w:eastAsia="Arial" w:cs="Arial"/>
          <w:color w:val="000000"/>
          <w:sz w:val="20"/>
          <w:szCs w:val="20"/>
        </w:rPr>
        <w:t xml:space="preserve">Die Kosten der Errichtung und Vergebührung dieses Vertrages
sowie alle durch den Verschmelzungsvorgang verursachten Kosten,
Steuern, Abgaben und Gebühren trägt die übernehmende Gesellschaft,
soweit nicht Gebühren- und Abgabenbefreiungen des UmgrStG in
Anspruch genommen werden können.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11. Allgemeines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eine Bestimmung dieses Vertrages ganz oder teilweise
unwirksam oder undurchführbar sein oder werden, wird dadurch die
Wirksamkeit oder Durchführbarkeit der übrigen Bestimmungen nicht
berührt. Die unwirksame oder undurchführbare Bestimmung wird durch
eine wirksame oder durchführbare Bestimmung ersetzt, die in ihrem
wirtschaftlichen Gehalt der unwirksamen oder undurchführbaren
Bestimmung möglichst nahe kommt; dasselbe gilt entsprechend für
allfällige Lücken in diesem Vertrag.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diesem Vertrag angeschlossenen Anlagen bilden einen
integrierenden Bestandteil dieses Vertrages.</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12. Bevollmächtigung</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erteilen Fuchs Rechtsanwälte Partnerschaft,
Advokatenweg 1, 1010 Wien, Vollmacht und ermächtigen sie, in ihrem
Namen und mit Rechtswirksamkeit für sie, vom Firmenbuch allenfalls
verlangte oder sonst zur Eintragung der Verschmelzung in das
Firmenbuch erforderliche Änderungen dieses Vertrages auch in
notarieller Form vorzunehmen, und alle zum Zwecke der Eintragung
der Verschmelzung in das Firmenbuch notwendigen Erklärungen in
einfacher und/oder notarieller Form abzugeben. Die Fuchs
Rechtsanwälte Partnerschaft wird weiters bevollmächtigt, Eingaben
im Namen der Vertragsparteien einzubringen, urkundlich in jeder
Form zu errichten, Zustellungen entgegenzunehmen und überhaupt
alles zu veranlassen, was zur raschen Eintragung der Verschmelzung
in das Firmenbuch erforderlich ist. Die Bevollmächtigte wird von
allen Beschränkungen des Selbstkontrahierens und der
Mehrfachvertretung befreit.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13. Ausfertigungen</w:t>
      </w:r>
    </w:p>
    <w:p>
      <w:pPr>
        <w:widowControl w:val="on"/>
        <w:pBdr/>
        <w:spacing w:before="140" w:after="240" w:line="288" w:lineRule="auto"/>
        <w:ind w:left="0" w:right="0"/>
        <w:jc w:val="left"/>
      </w:pPr>
      <w:r>
        <w:rPr>
          <w:rFonts w:ascii="Arial" w:hAnsi="Arial" w:eastAsia="Arial" w:cs="Arial"/>
          <w:color w:val="000000"/>
          <w:sz w:val="20"/>
          <w:szCs w:val="20"/>
        </w:rPr>
        <w:t xml:space="preserve">Von diesem Notariatsakt können beliebig viele Ausfertigungen an
die Vertragsparteien, an deren bevollmächtigte Vertreter sowie
gegenwärtige und zukünftige Gesellschafter, Geschäftsführer und
allfällige Liquidatoren erteilt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14. Anlage(n)</w:t>
      </w:r>
    </w:p>
    <w:p>
      <w:pPr>
        <w:widowControl w:val="on"/>
        <w:pBdr/>
        <w:spacing w:before="140" w:after="240" w:line="288" w:lineRule="auto"/>
        <w:ind w:left="0" w:right="0"/>
        <w:jc w:val="left"/>
      </w:pPr>
      <w:r>
        <w:rPr>
          <w:rFonts w:ascii="Arial" w:hAnsi="Arial" w:eastAsia="Arial" w:cs="Arial"/>
          <w:color w:val="000000"/>
          <w:sz w:val="20"/>
          <w:szCs w:val="20"/>
        </w:rPr>
        <w:t xml:space="preserve">Anlage ./1: Schlussbilanz der übertragenden Gesellschaft zum
31.12.2011</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Kassandra IT Services GmbH Kassandra Unternehmensberatung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536238" w:name="note1"/>
            <w:bookmarkEnd w:id="36536238"/>
            <w:bookmarkStart w:id="9256838113430" w:name="note1"/>
            <w:r>
              <w:rPr>
                <w:rFonts w:ascii="Arial" w:hAnsi="Arial" w:eastAsia="Arial" w:cs="Arial"/>
                <w:b/>
                <w:bCs/>
                <w:color w:val="000000"/>
                <w:position w:val="0"/>
                <w:sz w:val="20"/>
                <w:szCs w:val="20"/>
              </w:rPr>
              <w:t xml:space="preserve">[1]</w:t>
            </w:r>
            <w:bookmarkEnd w:id="925683811343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Form: Notariatsakt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8753810" w:name="note2"/>
            <w:bookmarkEnd w:id="18753810"/>
            <w:bookmarkStart w:id="3932821147861" w:name="note2"/>
            <w:r>
              <w:rPr>
                <w:rFonts w:ascii="Arial" w:hAnsi="Arial" w:eastAsia="Arial" w:cs="Arial"/>
                <w:b/>
                <w:bCs/>
                <w:color w:val="000000"/>
                <w:position w:val="0"/>
                <w:sz w:val="20"/>
                <w:szCs w:val="20"/>
              </w:rPr>
              <w:t xml:space="preserve">[2]</w:t>
            </w:r>
            <w:bookmarkEnd w:id="393282114786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handelt sich hier um eine vereinfachte Verschmelzung auf den
Alleingesellschafter iSv § 96 GmbHG iVm § 232 Abs 1a
AktG. Daher kann sowohl bei der übertragenden als auch bei der
übernehmenden Gesellschaft eine Generalversammlung entfallen. In
diesem Fall haben sowohl die Gesellschafter der übertragenden als
auch der übernehmenden Gesellschaft schriftliche
Verzichtserklärungen iSv § 232 Abs 2 AktG abzugeben,
widrigenfalls die einmonatige „Sperrfrist“ des § 96 GmbHG iVm
§ 231 Abs 1a AktG zum Tragen kommt.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54775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1196583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3475758">
    <w:multiLevelType w:val="hybridMultilevel"/>
    <w:lvl w:ilvl="0" w:tplc="52441027">
      <w:start w:val="1"/>
      <w:numFmt w:val="decimal"/>
      <w:lvlText w:val="%1."/>
      <w:lvlJc w:val="left"/>
      <w:pPr>
        <w:ind w:left="720" w:hanging="360"/>
      </w:pPr>
    </w:lvl>
    <w:lvl w:ilvl="1" w:tplc="52441027" w:tentative="1">
      <w:start w:val="1"/>
      <w:numFmt w:val="lowerLetter"/>
      <w:lvlText w:val="%2."/>
      <w:lvlJc w:val="left"/>
      <w:pPr>
        <w:ind w:left="1440" w:hanging="360"/>
      </w:pPr>
    </w:lvl>
    <w:lvl w:ilvl="2" w:tplc="52441027" w:tentative="1">
      <w:start w:val="1"/>
      <w:numFmt w:val="lowerRoman"/>
      <w:lvlText w:val="%3."/>
      <w:lvlJc w:val="right"/>
      <w:pPr>
        <w:ind w:left="2160" w:hanging="180"/>
      </w:pPr>
    </w:lvl>
    <w:lvl w:ilvl="3" w:tplc="52441027" w:tentative="1">
      <w:start w:val="1"/>
      <w:numFmt w:val="decimal"/>
      <w:lvlText w:val="%4."/>
      <w:lvlJc w:val="left"/>
      <w:pPr>
        <w:ind w:left="2880" w:hanging="360"/>
      </w:pPr>
    </w:lvl>
    <w:lvl w:ilvl="4" w:tplc="52441027" w:tentative="1">
      <w:start w:val="1"/>
      <w:numFmt w:val="lowerLetter"/>
      <w:lvlText w:val="%5."/>
      <w:lvlJc w:val="left"/>
      <w:pPr>
        <w:ind w:left="3600" w:hanging="360"/>
      </w:pPr>
    </w:lvl>
    <w:lvl w:ilvl="5" w:tplc="52441027" w:tentative="1">
      <w:start w:val="1"/>
      <w:numFmt w:val="lowerRoman"/>
      <w:lvlText w:val="%6."/>
      <w:lvlJc w:val="right"/>
      <w:pPr>
        <w:ind w:left="4320" w:hanging="180"/>
      </w:pPr>
    </w:lvl>
    <w:lvl w:ilvl="6" w:tplc="52441027" w:tentative="1">
      <w:start w:val="1"/>
      <w:numFmt w:val="decimal"/>
      <w:lvlText w:val="%7."/>
      <w:lvlJc w:val="left"/>
      <w:pPr>
        <w:ind w:left="5040" w:hanging="360"/>
      </w:pPr>
    </w:lvl>
    <w:lvl w:ilvl="7" w:tplc="52441027" w:tentative="1">
      <w:start w:val="1"/>
      <w:numFmt w:val="lowerLetter"/>
      <w:lvlText w:val="%8."/>
      <w:lvlJc w:val="left"/>
      <w:pPr>
        <w:ind w:left="5760" w:hanging="360"/>
      </w:pPr>
    </w:lvl>
    <w:lvl w:ilvl="8" w:tplc="52441027" w:tentative="1">
      <w:start w:val="1"/>
      <w:numFmt w:val="lowerRoman"/>
      <w:lvlText w:val="%9."/>
      <w:lvlJc w:val="right"/>
      <w:pPr>
        <w:ind w:left="6480" w:hanging="180"/>
      </w:pPr>
    </w:lvl>
  </w:abstractNum>
  <w:abstractNum w:abstractNumId="73475757">
    <w:multiLevelType w:val="hybridMultilevel"/>
    <w:lvl w:ilvl="0" w:tplc="61265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75757">
    <w:abstractNumId w:val="73475757"/>
  </w:num>
  <w:num w:numId="73475758">
    <w:abstractNumId w:val="73475758"/>
  </w:num>
  <w:num w:numId="611965830">
    <w:abstractNumId w:val="611965830"/>
  </w:num>
  <w:num w:numId="129547754">
    <w:abstractNumId w:val="1295477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43309708" Type="http://schemas.openxmlformats.org/officeDocument/2006/relationships/numbering" Target="numbering.xml"/><Relationship Id="rId40074527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