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44436547" w:name="document"/>
    <w:bookmarkEnd w:id="44436547"/>
    <w:p/>
    <w:p>
      <w:pPr>
        <w:widowControl w:val="on"/>
        <w:pBdr/>
        <w:spacing w:before="0" w:after="280" w:line="240" w:lineRule="auto"/>
        <w:ind w:left="0" w:right="0"/>
        <w:jc w:val="left"/>
      </w:pPr>
      <w:r>
        <w:rPr>
          <w:rFonts w:ascii="Arial" w:hAnsi="Arial" w:eastAsia="Arial" w:cs="Arial"/>
          <w:color w:val="363A40"/>
          <w:sz w:val="24"/>
          <w:szCs w:val="24"/>
        </w:rPr>
        <w:t xml:space="preserve">Dokument-ID: 431486 | Andrea Futterknecht |
Muster | Vertragsmuster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Umwandlungsvertrag</w:t>
      </w:r>
    </w:p>
    <w:p>
      <w:pPr>
        <w:widowControl w:val="on"/>
        <w:pBdr/>
        <w:spacing w:before="140" w:after="240" w:line="288" w:lineRule="auto"/>
        <w:ind w:left="0" w:right="0"/>
        <w:jc w:val="left"/>
      </w:pPr>
      <w:r>
        <w:rPr>
          <w:rFonts w:ascii="Arial" w:hAnsi="Arial" w:eastAsia="Arial" w:cs="Arial"/>
          <w:color w:val="000000"/>
          <w:sz w:val="20"/>
          <w:szCs w:val="20"/>
        </w:rPr>
        <w:t xml:space="preserve">Umwandlungsvertrag (Umwandlung einer GmbH auf eU)</w:t>
      </w:r>
    </w:p>
    <w:p>
      <w:pPr>
        <w:widowControl w:val="on"/>
        <w:pBdr/>
        <w:spacing w:before="240" w:after="60" w:line="346" w:lineRule="auto"/>
        <w:ind w:left="0" w:right="0"/>
        <w:jc w:val="left"/>
        <w:outlineLvl w:val="1"/>
      </w:pPr>
      <w:r>
        <w:rPr>
          <w:rFonts w:ascii="Arial" w:hAnsi="Arial" w:eastAsia="Arial" w:cs="Arial"/>
          <w:b/>
          <w:bCs/>
          <w:color w:val="363A40"/>
          <w:sz w:val="28"/>
          <w:szCs w:val="28"/>
        </w:rPr>
        <w:t xml:space="preserve">Umwandlungsvertrag</w:t>
      </w:r>
    </w:p>
    <w:p>
      <w:pPr>
        <w:widowControl w:val="on"/>
        <w:pBdr/>
        <w:spacing w:before="140" w:after="240" w:line="288" w:lineRule="auto"/>
        <w:ind w:left="0" w:right="0"/>
        <w:jc w:val="left"/>
      </w:pPr>
      <w:r>
        <w:rPr>
          <w:rFonts w:ascii="Arial" w:hAnsi="Arial" w:eastAsia="Arial" w:cs="Arial"/>
          <w:color w:val="000000"/>
          <w:sz w:val="20"/>
          <w:szCs w:val="20"/>
        </w:rPr>
        <w:t xml:space="preserve">zur verschmelzenden Umwandlung</w:t>
      </w:r>
      <w:r>
        <w:rPr>
          <w:rFonts w:ascii="Arial" w:hAnsi="Arial" w:eastAsia="Arial" w:cs="Arial"/>
          <w:color w:val="000000"/>
          <w:sz w:val="20"/>
          <w:szCs w:val="20"/>
        </w:rPr>
        <w:br/>
        <w:t xml:space="preserve">der DI Zacharias Trara Ziviltechniker GmbH (FN 12345 a des
Handelsgerichtes Wien)</w:t>
      </w:r>
      <w:r>
        <w:rPr>
          <w:rFonts w:ascii="Arial" w:hAnsi="Arial" w:eastAsia="Arial" w:cs="Arial"/>
          <w:color w:val="000000"/>
          <w:sz w:val="20"/>
          <w:szCs w:val="20"/>
        </w:rPr>
        <w:br/>
        <w:t xml:space="preserve">auf den Alleingesellschafter DI Zacharias Trara</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1. Grundlagen</w:t>
      </w:r>
    </w:p>
    <w:p>
      <w:pPr>
        <w:widowControl w:val="on"/>
        <w:pBdr/>
        <w:spacing w:before="140" w:after="240" w:line="288" w:lineRule="auto"/>
        <w:ind w:left="0" w:right="0"/>
        <w:jc w:val="left"/>
      </w:pPr>
      <w:r>
        <w:rPr>
          <w:rFonts w:ascii="Arial" w:hAnsi="Arial" w:eastAsia="Arial" w:cs="Arial"/>
          <w:color w:val="000000"/>
          <w:sz w:val="20"/>
          <w:szCs w:val="20"/>
        </w:rPr>
        <w:t xml:space="preserve">1.1 Im Firmenbuch des Handelsgerichtes Wien ist unter FN 12345 a
die DI Zacharias Trara Ziviltechniker GmbH eingetragen. Diese wird
im Folgenden kurz als übertragende Gesellschaft bezeichnet.</w:t>
      </w:r>
    </w:p>
    <w:p>
      <w:pPr>
        <w:widowControl w:val="on"/>
        <w:pBdr/>
        <w:spacing w:before="140" w:after="240" w:line="288" w:lineRule="auto"/>
        <w:ind w:left="0" w:right="0"/>
        <w:jc w:val="left"/>
      </w:pPr>
      <w:r>
        <w:rPr>
          <w:rFonts w:ascii="Arial" w:hAnsi="Arial" w:eastAsia="Arial" w:cs="Arial"/>
          <w:color w:val="000000"/>
          <w:sz w:val="20"/>
          <w:szCs w:val="20"/>
        </w:rPr>
        <w:t xml:space="preserve">1.2 Die übertragende Gesellschaft besteht seit 05.05.2005.</w:t>
      </w:r>
    </w:p>
    <w:p>
      <w:pPr>
        <w:widowControl w:val="on"/>
        <w:pBdr/>
        <w:spacing w:before="140" w:after="240" w:line="288" w:lineRule="auto"/>
        <w:ind w:left="0" w:right="0"/>
        <w:jc w:val="left"/>
      </w:pPr>
      <w:r>
        <w:rPr>
          <w:rFonts w:ascii="Arial" w:hAnsi="Arial" w:eastAsia="Arial" w:cs="Arial"/>
          <w:color w:val="000000"/>
          <w:sz w:val="20"/>
          <w:szCs w:val="20"/>
        </w:rPr>
        <w:t xml:space="preserve">1.3 An der übertragenden Gesellschaft sind beteiligt:</w:t>
      </w:r>
    </w:p>
    <w:p>
      <w:pPr>
        <w:numPr>
          <w:ilvl w:val="0"/>
          <w:numId w:val="90859814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 Zacharias Trara, geb 05.05.1955,</w:t>
      </w:r>
    </w:p>
    <w:p>
      <w:pPr>
        <w:numPr>
          <w:ilvl w:val="0"/>
          <w:numId w:val="90859814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mit einer zur Gänze einbezahlten Stammeinlage von
EUR 40.000,–.</w:t>
      </w:r>
    </w:p>
    <w:p>
      <w:pPr>
        <w:widowControl w:val="on"/>
        <w:pBdr/>
        <w:spacing w:before="140" w:after="240" w:line="288" w:lineRule="auto"/>
        <w:ind w:left="0" w:right="0"/>
        <w:jc w:val="left"/>
      </w:pPr>
      <w:r>
        <w:rPr>
          <w:rFonts w:ascii="Arial" w:hAnsi="Arial" w:eastAsia="Arial" w:cs="Arial"/>
          <w:color w:val="000000"/>
          <w:sz w:val="20"/>
          <w:szCs w:val="20"/>
        </w:rPr>
        <w:t xml:space="preserve">1.4 Zur verschmelzenden Umwandlung der DI Zacharias Trara
Ziviltechniker GmbH als übertragender Gesellschaft gemäß den
Bestimmungen des UmwG auf die Alleingesellschafterin errichten die
Vertragsteile den folgenden Umwandlungsvertrag.</w:t>
      </w:r>
    </w:p>
    <w:p>
      <w:pPr>
        <w:widowControl w:val="on"/>
        <w:pBdr/>
        <w:spacing w:before="140" w:after="240" w:line="288" w:lineRule="auto"/>
        <w:ind w:left="0" w:right="0"/>
        <w:jc w:val="left"/>
      </w:pPr>
      <w:r>
        <w:rPr>
          <w:rFonts w:ascii="Arial" w:hAnsi="Arial" w:eastAsia="Arial" w:cs="Arial"/>
          <w:color w:val="000000"/>
          <w:sz w:val="20"/>
          <w:szCs w:val="20"/>
        </w:rPr>
        <w:t xml:space="preserve">1.5 Der Umwandlungsvertrag wird auf Grundlage der Bilanz der
übertragenden Gesellschaft zum 31.12.2011 unter Inanspruchnahme der
umgründungssteuerrechtlichen Begünstigungen des Art II UmgrStG
zum Stichtag 31.12.2011 durchgeführt.</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2. Umwandlung</w:t>
      </w:r>
    </w:p>
    <w:p>
      <w:pPr>
        <w:widowControl w:val="on"/>
        <w:pBdr/>
        <w:spacing w:before="140" w:after="240" w:line="288" w:lineRule="auto"/>
        <w:ind w:left="0" w:right="0"/>
        <w:jc w:val="left"/>
      </w:pPr>
      <w:r>
        <w:rPr>
          <w:rFonts w:ascii="Arial" w:hAnsi="Arial" w:eastAsia="Arial" w:cs="Arial"/>
          <w:color w:val="000000"/>
          <w:sz w:val="20"/>
          <w:szCs w:val="20"/>
        </w:rPr>
        <w:t xml:space="preserve">Die übertragende Gesellschaft wird durch Übertragung ihres
Vermögens als Ganzes mit allen Rechten und Pflichten unter Verzicht
auf die Liquidation im Wege der Gesamtrechtsnachfolge auf den
Alleingesellschafter DI Zacharias Trara, geb 05.05.1955, gemäß dem
Bestimmungen des UmwG unter Inanspruchnahme der
umgründungssteuerrechtlichen Begünstigungen des Art II UmgrStG
zum Stichtag 31.12.2011 umgewandelt.</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3. Barabfindung</w:t>
      </w:r>
    </w:p>
    <w:p>
      <w:pPr>
        <w:widowControl w:val="on"/>
        <w:pBdr/>
        <w:spacing w:before="140" w:after="240" w:line="288" w:lineRule="auto"/>
        <w:ind w:left="0" w:right="0"/>
        <w:jc w:val="left"/>
      </w:pPr>
      <w:r>
        <w:rPr>
          <w:rFonts w:ascii="Arial" w:hAnsi="Arial" w:eastAsia="Arial" w:cs="Arial"/>
          <w:color w:val="000000"/>
          <w:sz w:val="20"/>
          <w:szCs w:val="20"/>
        </w:rPr>
        <w:t xml:space="preserve">Da die Übernehmerin Alleingesellschafterin der übertragenden
Gesellschaft ist, entfällt ein Barabfindungsanbot.</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4. Jahresabschluss und Umwandlungsstichtag</w:t>
      </w:r>
    </w:p>
    <w:p>
      <w:pPr>
        <w:widowControl w:val="on"/>
        <w:pBdr/>
        <w:spacing w:before="140" w:after="240" w:line="288" w:lineRule="auto"/>
        <w:ind w:left="0" w:right="0"/>
        <w:jc w:val="left"/>
      </w:pPr>
      <w:r>
        <w:rPr>
          <w:rFonts w:ascii="Arial" w:hAnsi="Arial" w:eastAsia="Arial" w:cs="Arial"/>
          <w:color w:val="000000"/>
          <w:sz w:val="20"/>
          <w:szCs w:val="20"/>
        </w:rPr>
        <w:t xml:space="preserve">4.1 Diesem Umwandlungsvorgang wird der Jahresabschluss der
übertragenden Gesellschaft zum 31.12.2011 als umwandlungsrechtliche
Schlussbilanz zugrunde gelegt. Als Stichtag für die Umwandlung der
übertragenden Gesellschaft wird daher der 31.12.2011
vereinbart.</w:t>
      </w:r>
    </w:p>
    <w:p>
      <w:pPr>
        <w:widowControl w:val="on"/>
        <w:pBdr/>
        <w:spacing w:before="140" w:after="240" w:line="288" w:lineRule="auto"/>
        <w:ind w:left="0" w:right="0"/>
        <w:jc w:val="left"/>
      </w:pPr>
      <w:r>
        <w:rPr>
          <w:rFonts w:ascii="Arial" w:hAnsi="Arial" w:eastAsia="Arial" w:cs="Arial"/>
          <w:color w:val="000000"/>
          <w:sz w:val="20"/>
          <w:szCs w:val="20"/>
        </w:rPr>
        <w:t xml:space="preserve">4.2 Mit Ablauf des Umwandlungsstichtages gelten Handlungen der
übertragenden Gesellschaft als für Rechnung des
Nachfolgerechtsträgers vorgenommen.</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5. Vermögensübergang</w:t>
      </w:r>
    </w:p>
    <w:p>
      <w:pPr>
        <w:widowControl w:val="on"/>
        <w:pBdr/>
        <w:spacing w:before="140" w:after="240" w:line="288" w:lineRule="auto"/>
        <w:ind w:left="0" w:right="0"/>
        <w:jc w:val="left"/>
      </w:pPr>
      <w:r>
        <w:rPr>
          <w:rFonts w:ascii="Arial" w:hAnsi="Arial" w:eastAsia="Arial" w:cs="Arial"/>
          <w:color w:val="000000"/>
          <w:sz w:val="20"/>
          <w:szCs w:val="20"/>
        </w:rPr>
        <w:t xml:space="preserve">Mit Ablauf des Umwandlungsstichtages 31.12.2011 ist die
übertragende Gesellschaft aufgelöst und ihr Vermögen als Ganzes im
Wege der Gesamtrechtsnachfolge auf den Alleingesellschafter als
Nachfolgerechtsträger übergegangen.</w:t>
      </w:r>
    </w:p>
    <w:p>
      <w:pPr>
        <w:widowControl w:val="on"/>
        <w:pBdr/>
        <w:spacing w:before="140" w:after="240" w:line="288" w:lineRule="auto"/>
        <w:ind w:left="0" w:right="0"/>
        <w:jc w:val="left"/>
      </w:pPr>
      <w:r>
        <w:rPr>
          <w:rFonts w:ascii="Arial" w:hAnsi="Arial" w:eastAsia="Arial" w:cs="Arial"/>
          <w:color w:val="000000"/>
          <w:sz w:val="20"/>
          <w:szCs w:val="20"/>
        </w:rPr>
        <w:t xml:space="preserve">Sowohl der übertragenden Gesellschaft, insb aber auch den
Nachfolgerechtsträger sind die sich aus dieser Rechts- bzw
Vermögensübertragung ergebenden rechtlichen Folgen, insb in
Rücksicht auf bestehende Verbindlichkeiten, aber auch auf
bestehende Dauerschuldverhältnisse bekannt.</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6. Sondermaßnahmen und Sondervorteile</w:t>
      </w:r>
    </w:p>
    <w:p>
      <w:pPr>
        <w:widowControl w:val="on"/>
        <w:pBdr/>
        <w:spacing w:before="140" w:after="240" w:line="288" w:lineRule="auto"/>
        <w:ind w:left="0" w:right="0"/>
        <w:jc w:val="left"/>
      </w:pPr>
      <w:r>
        <w:rPr>
          <w:rFonts w:ascii="Arial" w:hAnsi="Arial" w:eastAsia="Arial" w:cs="Arial"/>
          <w:color w:val="000000"/>
          <w:sz w:val="20"/>
          <w:szCs w:val="20"/>
        </w:rPr>
        <w:t xml:space="preserve">6.1 Der Nachfolgerechtsträger leistet keine Sonderrechte im
Sinne des § 220 Abs 2 Z 6 AktG, und diesbezügliche
Maßnahmen sind daher nicht vorgesehen.</w:t>
      </w:r>
    </w:p>
    <w:p>
      <w:pPr>
        <w:widowControl w:val="on"/>
        <w:pBdr/>
        <w:spacing w:before="140" w:after="240" w:line="288" w:lineRule="auto"/>
        <w:ind w:left="0" w:right="0"/>
        <w:jc w:val="left"/>
      </w:pPr>
      <w:r>
        <w:rPr>
          <w:rFonts w:ascii="Arial" w:hAnsi="Arial" w:eastAsia="Arial" w:cs="Arial"/>
          <w:color w:val="000000"/>
          <w:sz w:val="20"/>
          <w:szCs w:val="20"/>
        </w:rPr>
        <w:t xml:space="preserve">6.2 Die Vertragsteile halten übereinstimmend fest, dass keine
Sondervorteile im Sinne des § 220 Abs 2 Z 7 AktG im
Zuge dieses Umwandlungsvorganges gewährt werden.</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7. Umgründungssteuerrechtliche Begünstigungen</w:t>
      </w:r>
    </w:p>
    <w:p>
      <w:pPr>
        <w:widowControl w:val="on"/>
        <w:pBdr/>
        <w:spacing w:before="140" w:after="240" w:line="288" w:lineRule="auto"/>
        <w:ind w:left="0" w:right="0"/>
        <w:jc w:val="left"/>
      </w:pPr>
      <w:r>
        <w:rPr>
          <w:rFonts w:ascii="Arial" w:hAnsi="Arial" w:eastAsia="Arial" w:cs="Arial"/>
          <w:color w:val="000000"/>
          <w:sz w:val="20"/>
          <w:szCs w:val="20"/>
        </w:rPr>
        <w:t xml:space="preserve">7.1 Für den gegenständlichen Umwandlungsvorgang werden die
umgründungssteuerrechtlichen Begünstigungen des Art II UmgrStG
in Anspruch genommen.</w:t>
      </w:r>
    </w:p>
    <w:p>
      <w:pPr>
        <w:widowControl w:val="on"/>
        <w:pBdr/>
        <w:spacing w:before="140" w:after="240" w:line="288" w:lineRule="auto"/>
        <w:ind w:left="0" w:right="0"/>
        <w:jc w:val="left"/>
      </w:pPr>
      <w:r>
        <w:rPr>
          <w:rFonts w:ascii="Arial" w:hAnsi="Arial" w:eastAsia="Arial" w:cs="Arial"/>
          <w:color w:val="000000"/>
          <w:sz w:val="20"/>
          <w:szCs w:val="20"/>
        </w:rPr>
        <w:t xml:space="preserve">7.2 Der Nachfolgerechtsträger erklärt, dass bei ihm für das auf
ihn übertragene Vermögen die Besteuerung der stillen Reserve in
keiner Weise eingeschränkt ist.</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8. Kosten</w:t>
      </w:r>
    </w:p>
    <w:p>
      <w:pPr>
        <w:widowControl w:val="on"/>
        <w:pBdr/>
        <w:spacing w:before="140" w:after="240" w:line="288" w:lineRule="auto"/>
        <w:ind w:left="0" w:right="0"/>
        <w:jc w:val="left"/>
      </w:pPr>
      <w:r>
        <w:rPr>
          <w:rFonts w:ascii="Arial" w:hAnsi="Arial" w:eastAsia="Arial" w:cs="Arial"/>
          <w:color w:val="000000"/>
          <w:sz w:val="20"/>
          <w:szCs w:val="20"/>
        </w:rPr>
        <w:t xml:space="preserve">Alle Kosten der Errichtung und Vergebührung dieses Vertrages
sowie alle durch die Umwandlung verursachten Kosten, Steuern,
Abgaben und Gebühren trägt DI Zacharias Trara als
Alleingesellschafter und Nachfolgerechtsträger alleine; insb trägt
er auch die Kosten der Durchführung des Ausschlusses der
Minderheitsgesellschafter einschließlich der Barabfindung.</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9. Aufschiebende Bedingung</w:t>
      </w:r>
    </w:p>
    <w:p>
      <w:pPr>
        <w:widowControl w:val="on"/>
        <w:pBdr/>
        <w:spacing w:before="140" w:after="240" w:line="288" w:lineRule="auto"/>
        <w:ind w:left="0" w:right="0"/>
        <w:jc w:val="left"/>
      </w:pPr>
      <w:r>
        <w:rPr>
          <w:rFonts w:ascii="Arial" w:hAnsi="Arial" w:eastAsia="Arial" w:cs="Arial"/>
          <w:color w:val="000000"/>
          <w:sz w:val="20"/>
          <w:szCs w:val="20"/>
        </w:rPr>
        <w:t xml:space="preserve">Die Rechtswirksamkeit dieses Umwandlungsvertrages ist
aufschiebend bedingt durch die Genehmigung durch die
Generalversammlung der DI Zacharias Trara Ziviltechniker GmbH sowie
die erfolgte Firmenbucheintragung dieses Umwandlungsvorganges.</w:t>
      </w:r>
    </w:p>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DI Zacharias Trara</w:t>
      </w:r>
    </w:p>
    <w:p>
      <w:pPr>
        <w:widowControl w:val="on"/>
        <w:pBdr/>
        <w:spacing w:before="140" w:after="240" w:line="288" w:lineRule="auto"/>
        <w:ind w:left="0" w:right="0"/>
        <w:jc w:val="left"/>
      </w:pPr>
      <w:r>
        <w:rPr>
          <w:rFonts w:ascii="Arial" w:hAnsi="Arial" w:eastAsia="Arial" w:cs="Arial"/>
          <w:color w:val="000000"/>
          <w:sz w:val="20"/>
          <w:szCs w:val="20"/>
        </w:rPr>
        <w:t xml:space="preserve">als Geschäftsführer der DI Zacharias Trara Ziviltechniker
GmbH</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DI Zacharias Trara, geb 05.05.1955</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w:t>
      </w:r>
    </w:p>
    <w:p>
      <w:pPr>
        <w:widowControl w:val="on"/>
        <w:pBdr/>
        <w:spacing w:before="140" w:after="240" w:line="288" w:lineRule="auto"/>
        <w:ind w:left="0" w:right="0"/>
        <w:jc w:val="left"/>
      </w:pPr>
      <w:r>
        <w:rPr>
          <w:rFonts w:ascii="Arial" w:hAnsi="Arial" w:eastAsia="Arial" w:cs="Arial"/>
          <w:color w:val="000000"/>
          <w:sz w:val="20"/>
          <w:szCs w:val="20"/>
        </w:rPr>
        <w:t xml:space="preserve">Der Umwandlungsvertrag ist von der Geschäftsführung der
umzuwandelnden Gesellschaft gemeinsam mit dem Hauptgesellschafter
aufzustellen.</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8598148">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124372036">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78719946">
    <w:multiLevelType w:val="hybridMultilevel"/>
    <w:lvl w:ilvl="0" w:tplc="39384483">
      <w:start w:val="1"/>
      <w:numFmt w:val="decimal"/>
      <w:lvlText w:val="%1."/>
      <w:lvlJc w:val="left"/>
      <w:pPr>
        <w:ind w:left="720" w:hanging="360"/>
      </w:pPr>
    </w:lvl>
    <w:lvl w:ilvl="1" w:tplc="39384483" w:tentative="1">
      <w:start w:val="1"/>
      <w:numFmt w:val="lowerLetter"/>
      <w:lvlText w:val="%2."/>
      <w:lvlJc w:val="left"/>
      <w:pPr>
        <w:ind w:left="1440" w:hanging="360"/>
      </w:pPr>
    </w:lvl>
    <w:lvl w:ilvl="2" w:tplc="39384483" w:tentative="1">
      <w:start w:val="1"/>
      <w:numFmt w:val="lowerRoman"/>
      <w:lvlText w:val="%3."/>
      <w:lvlJc w:val="right"/>
      <w:pPr>
        <w:ind w:left="2160" w:hanging="180"/>
      </w:pPr>
    </w:lvl>
    <w:lvl w:ilvl="3" w:tplc="39384483" w:tentative="1">
      <w:start w:val="1"/>
      <w:numFmt w:val="decimal"/>
      <w:lvlText w:val="%4."/>
      <w:lvlJc w:val="left"/>
      <w:pPr>
        <w:ind w:left="2880" w:hanging="360"/>
      </w:pPr>
    </w:lvl>
    <w:lvl w:ilvl="4" w:tplc="39384483" w:tentative="1">
      <w:start w:val="1"/>
      <w:numFmt w:val="lowerLetter"/>
      <w:lvlText w:val="%5."/>
      <w:lvlJc w:val="left"/>
      <w:pPr>
        <w:ind w:left="3600" w:hanging="360"/>
      </w:pPr>
    </w:lvl>
    <w:lvl w:ilvl="5" w:tplc="39384483" w:tentative="1">
      <w:start w:val="1"/>
      <w:numFmt w:val="lowerRoman"/>
      <w:lvlText w:val="%6."/>
      <w:lvlJc w:val="right"/>
      <w:pPr>
        <w:ind w:left="4320" w:hanging="180"/>
      </w:pPr>
    </w:lvl>
    <w:lvl w:ilvl="6" w:tplc="39384483" w:tentative="1">
      <w:start w:val="1"/>
      <w:numFmt w:val="decimal"/>
      <w:lvlText w:val="%7."/>
      <w:lvlJc w:val="left"/>
      <w:pPr>
        <w:ind w:left="5040" w:hanging="360"/>
      </w:pPr>
    </w:lvl>
    <w:lvl w:ilvl="7" w:tplc="39384483" w:tentative="1">
      <w:start w:val="1"/>
      <w:numFmt w:val="lowerLetter"/>
      <w:lvlText w:val="%8."/>
      <w:lvlJc w:val="left"/>
      <w:pPr>
        <w:ind w:left="5760" w:hanging="360"/>
      </w:pPr>
    </w:lvl>
    <w:lvl w:ilvl="8" w:tplc="39384483" w:tentative="1">
      <w:start w:val="1"/>
      <w:numFmt w:val="lowerRoman"/>
      <w:lvlText w:val="%9."/>
      <w:lvlJc w:val="right"/>
      <w:pPr>
        <w:ind w:left="6480" w:hanging="180"/>
      </w:pPr>
    </w:lvl>
  </w:abstractNum>
  <w:abstractNum w:abstractNumId="78719945">
    <w:multiLevelType w:val="hybridMultilevel"/>
    <w:lvl w:ilvl="0" w:tplc="237170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719945">
    <w:abstractNumId w:val="78719945"/>
  </w:num>
  <w:num w:numId="78719946">
    <w:abstractNumId w:val="78719946"/>
  </w:num>
  <w:num w:numId="124372036">
    <w:abstractNumId w:val="124372036"/>
  </w:num>
  <w:num w:numId="908598148">
    <w:abstractNumId w:val="9085981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232313200" Type="http://schemas.openxmlformats.org/officeDocument/2006/relationships/numbering" Target="numbering.xml"/><Relationship Id="rId234453259"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