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889586" w:name="document"/>
    <w:bookmarkEnd w:id="11889586"/>
    <w:p/>
    <w:p>
      <w:pPr>
        <w:widowControl w:val="on"/>
        <w:pBdr/>
        <w:spacing w:before="0" w:after="280" w:line="240" w:lineRule="auto"/>
        <w:ind w:left="0" w:right="0"/>
        <w:jc w:val="left"/>
      </w:pPr>
      <w:r>
        <w:rPr>
          <w:rFonts w:ascii="Arial" w:hAnsi="Arial" w:eastAsia="Arial" w:cs="Arial"/>
          <w:color w:val="363A40"/>
          <w:sz w:val="24"/>
          <w:szCs w:val="24"/>
        </w:rPr>
        <w:t xml:space="preserve">Dokument-ID: 578474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 eines GmbH-Geschäftsanteiles in eine bestehende
GmbH mit Kapitalerhöhung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Sacheinlage- und Einbringungsvertrag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Horst Hohenstein, geboren am 08.08.1988</w:t>
      </w:r>
      <w:r>
        <w:rPr>
          <w:rFonts w:ascii="Arial" w:hAnsi="Arial" w:eastAsia="Arial" w:cs="Arial"/>
          <w:color w:val="000000"/>
          <w:sz w:val="20"/>
          <w:szCs w:val="20"/>
        </w:rPr>
        <w:br/>
        <w:t xml:space="preserve">Musterweg 1, 1010 Wien</w:t>
      </w:r>
      <w:r>
        <w:rPr>
          <w:rFonts w:ascii="Arial" w:hAnsi="Arial" w:eastAsia="Arial" w:cs="Arial"/>
          <w:color w:val="000000"/>
          <w:sz w:val="20"/>
          <w:szCs w:val="20"/>
        </w:rPr>
        <w:br/>
        <w:t xml:space="preserve">(im Folgenden „Einbringender“)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Autohaus Hohenstein GmbH,</w:t>
      </w:r>
      <w:r>
        <w:rPr>
          <w:rFonts w:ascii="Arial" w:hAnsi="Arial" w:eastAsia="Arial" w:cs="Arial"/>
          <w:color w:val="000000"/>
          <w:sz w:val="20"/>
          <w:szCs w:val="20"/>
        </w:rPr>
        <w:br/>
        <w:t xml:space="preserve">FN 12345a des Handelsgerichtes Wien,</w:t>
      </w:r>
      <w:r>
        <w:rPr>
          <w:rFonts w:ascii="Arial" w:hAnsi="Arial" w:eastAsia="Arial" w:cs="Arial"/>
          <w:color w:val="000000"/>
          <w:sz w:val="20"/>
          <w:szCs w:val="20"/>
        </w:rPr>
        <w:br/>
        <w:t xml:space="preserve">Beispielweg 1, 1220 Wien</w:t>
      </w:r>
      <w:r>
        <w:rPr>
          <w:rFonts w:ascii="Arial" w:hAnsi="Arial" w:eastAsia="Arial" w:cs="Arial"/>
          <w:color w:val="000000"/>
          <w:sz w:val="20"/>
          <w:szCs w:val="20"/>
        </w:rPr>
        <w:br/>
        <w:t xml:space="preserve">(im Folgenden „Übernehmende Gesellschaft“)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Präambel</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ist Gesellschafter der unter FN 54321a in das
Firmenbuch des Handelsgerichtes Wien eingetragenen Hohenstein
KFZ-Werkstatt GmbH mit einem Geschäftsanteil, der einer zur Gänze
einbezahlten Stammeinlage von EUR 20.000,– (und somit der
Hälfte des Stammkapitals dieser Gesellschaft) entspricht.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übernehmende Gesellschaft ist im Firmenbuch des
Handelsgerichtes Wien unter FN 12345a eingetragen. An der
übernehmenden Gesellschaft ist der Einbringende als alleiniger
Gesellschafter zu 100 % beteiligt.</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Gegenstand der Einbringung – Einbringungserklärung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bringt ein und überträgt hiermit seinen in
Punkt 1.2 dieses Vertrages beschriebenen und in der
Einbringungsbilanz (Beilage 1) dargestellten Kapitalanteil an der
Hohenstein KFZ-Werkstatt GmbH mit allen mit dieser Beteiligung
verbundenen Rechten und Pflichten an die übernehmende Gesellschaft
und Letztere erwirbt hiermit die genannte Beteiligung.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Kapitalanteil weist sowohl zum
Einbringungsstichtag als auch zum Zeitpunkt des Abschlusses des
Einbringungsvertrages einen positiven Verkehrswert auf.</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Einbringungsstichtag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vertragsgegenständliche Einbringung erfolgt unter
Zugrundelegung des 31.12.2012 als Einbringungsstichtag.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Beginn des dem Einbringungsstichtag folgenden Tages gehen
Nutzen und Lasten, Gefahr und Zufall des eingebrachten
Kapitalanteils auf die übernehmende Gesellschaft über.</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Einbringungsbilanz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Grundlage der vertragsgegenständlichen Einbringung ist die zum
Einbringungsstichtag aufgestellte und diesem Vertrag als Beilage 1
angefügte Einbringungsbilanz nach § 15 UmgrStG.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Einbringende hat den vertragsgegenständlichen Kapitalanteil
mit dem Wert angesetzt, der sich nach den steuerlichen Vorschriften
über die Gewinnermittlung ergibt und erfüllt somit die
Voraussetzungen der §§ 14 bis 16 UmgrStG.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Gegenleistung</w:t>
      </w:r>
    </w:p>
    <w:p>
      <w:pPr>
        <w:widowControl w:val="on"/>
        <w:pBdr/>
        <w:spacing w:before="140" w:after="240" w:line="288" w:lineRule="auto"/>
        <w:ind w:left="0" w:right="0"/>
        <w:jc w:val="left"/>
      </w:pPr>
      <w:r>
        <w:rPr>
          <w:rFonts w:ascii="Arial" w:hAnsi="Arial" w:eastAsia="Arial" w:cs="Arial"/>
          <w:color w:val="000000"/>
          <w:sz w:val="20"/>
          <w:szCs w:val="20"/>
        </w:rPr>
        <w:t xml:space="preserve">Die übernehmende Gesellschaft Autohaus Hohenstein GmbH wird ihr
Stammkapital von EUR 35.000,– um insgesamt EUR 20.000,–
auf insgesamt EUR 55.000,– erhöhen. Der neu geschaffene
Geschäftsanteil im Nennbetrag von EUR 20.000,– wird von der
übernehmenden Gesellschaft im Einklang mit § 19 Abs 3
UmgrStG an den Einbringenden als Gegenleistung für den
eingebrachten Kapitalanteil gewährt. Der verbleibende Teil des neu
geschaffenen Geschäftsanteils im Nennbetrag von EUR 20.000,–
wird von der übernehmenden Gesellschaft an die Einbringende gegen
Bareinzahlung einer Stammeinlage von EUR 20.000,– gewährt.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Vertragsbestandteile</w:t>
      </w:r>
    </w:p>
    <w:p>
      <w:pPr>
        <w:widowControl w:val="on"/>
        <w:pBdr/>
        <w:spacing w:before="140" w:after="240" w:line="288" w:lineRule="auto"/>
        <w:ind w:left="0" w:right="0"/>
        <w:jc w:val="left"/>
      </w:pPr>
      <w:r>
        <w:rPr>
          <w:rFonts w:ascii="Arial" w:hAnsi="Arial" w:eastAsia="Arial" w:cs="Arial"/>
          <w:color w:val="000000"/>
          <w:sz w:val="20"/>
          <w:szCs w:val="20"/>
        </w:rPr>
        <w:t xml:space="preserve">Nachstehende Vertragsbeilage ist ein integrierender Bestandteil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Beilage 1: Einbringungsbilanz betreffend das zu übertragende
Vermögen zum 31.12.2012</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7. Kosten, Gebühren und Nebenbestimmungen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ungültig oder
nichtig sein oder werden, berührt dies die Wirksamkeit des übrigen
Vertrages nicht. Die ungültige oder nichtige Vertragsbestimmung ist
durch eine solche gültige oder rechtswirksame Vertragsbestimmung zu
ersetzen, die der ungültigen und nichtigen Bestimmung
wirtschaftlich am nächsten kommt und die die Einhaltung der
Art III UmgrStG ermöglicht.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erklärt, dass das einzubringende Vermögen am
Tag des Abschlusses des gegenständlichen Einbringungsvertrages
bereits länger als zwei Jahre (nämlich seit 05.05.2009) als sein
Vermögen besteht. Für den Einbringungsvorgang werden die
Begünstigungen des UmgrStG in Anspruch genommen. Insbesondere wird
auf die Bestimmung des § 22 Abs 3 und 4 UmgrStG
hingewiesen.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mit diesem Einbringungsvertrag verbundenen Kosten und
Abgaben trägt die übernehmende Gesellschaft.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Horst Hohenstein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Autohaus Hohenstein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Dieser Sacheinlagevertrag ist in Notariatsaktform abzuschließen,
weil ein GmbH-Geschäftsanteil übertragen wird (§ 76
GmbHG).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54774">
    <w:multiLevelType w:val="hybridMultilevel"/>
    <w:lvl w:ilvl="0" w:tplc="81129016">
      <w:start w:val="1"/>
      <w:numFmt w:val="decimal"/>
      <w:lvlText w:val="%1."/>
      <w:lvlJc w:val="left"/>
      <w:pPr>
        <w:ind w:left="720" w:hanging="360"/>
      </w:pPr>
    </w:lvl>
    <w:lvl w:ilvl="1" w:tplc="81129016" w:tentative="1">
      <w:start w:val="1"/>
      <w:numFmt w:val="lowerLetter"/>
      <w:lvlText w:val="%2."/>
      <w:lvlJc w:val="left"/>
      <w:pPr>
        <w:ind w:left="1440" w:hanging="360"/>
      </w:pPr>
    </w:lvl>
    <w:lvl w:ilvl="2" w:tplc="81129016" w:tentative="1">
      <w:start w:val="1"/>
      <w:numFmt w:val="lowerRoman"/>
      <w:lvlText w:val="%3."/>
      <w:lvlJc w:val="right"/>
      <w:pPr>
        <w:ind w:left="2160" w:hanging="180"/>
      </w:pPr>
    </w:lvl>
    <w:lvl w:ilvl="3" w:tplc="81129016" w:tentative="1">
      <w:start w:val="1"/>
      <w:numFmt w:val="decimal"/>
      <w:lvlText w:val="%4."/>
      <w:lvlJc w:val="left"/>
      <w:pPr>
        <w:ind w:left="2880" w:hanging="360"/>
      </w:pPr>
    </w:lvl>
    <w:lvl w:ilvl="4" w:tplc="81129016" w:tentative="1">
      <w:start w:val="1"/>
      <w:numFmt w:val="lowerLetter"/>
      <w:lvlText w:val="%5."/>
      <w:lvlJc w:val="left"/>
      <w:pPr>
        <w:ind w:left="3600" w:hanging="360"/>
      </w:pPr>
    </w:lvl>
    <w:lvl w:ilvl="5" w:tplc="81129016" w:tentative="1">
      <w:start w:val="1"/>
      <w:numFmt w:val="lowerRoman"/>
      <w:lvlText w:val="%6."/>
      <w:lvlJc w:val="right"/>
      <w:pPr>
        <w:ind w:left="4320" w:hanging="180"/>
      </w:pPr>
    </w:lvl>
    <w:lvl w:ilvl="6" w:tplc="81129016" w:tentative="1">
      <w:start w:val="1"/>
      <w:numFmt w:val="decimal"/>
      <w:lvlText w:val="%7."/>
      <w:lvlJc w:val="left"/>
      <w:pPr>
        <w:ind w:left="5040" w:hanging="360"/>
      </w:pPr>
    </w:lvl>
    <w:lvl w:ilvl="7" w:tplc="81129016" w:tentative="1">
      <w:start w:val="1"/>
      <w:numFmt w:val="lowerLetter"/>
      <w:lvlText w:val="%8."/>
      <w:lvlJc w:val="left"/>
      <w:pPr>
        <w:ind w:left="5760" w:hanging="360"/>
      </w:pPr>
    </w:lvl>
    <w:lvl w:ilvl="8" w:tplc="81129016" w:tentative="1">
      <w:start w:val="1"/>
      <w:numFmt w:val="lowerRoman"/>
      <w:lvlText w:val="%9."/>
      <w:lvlJc w:val="right"/>
      <w:pPr>
        <w:ind w:left="6480" w:hanging="180"/>
      </w:pPr>
    </w:lvl>
  </w:abstractNum>
  <w:abstractNum w:abstractNumId="70754773">
    <w:multiLevelType w:val="hybridMultilevel"/>
    <w:lvl w:ilvl="0" w:tplc="83180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54773">
    <w:abstractNumId w:val="70754773"/>
  </w:num>
  <w:num w:numId="70754774">
    <w:abstractNumId w:val="70754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13075340" Type="http://schemas.openxmlformats.org/officeDocument/2006/relationships/numbering" Target="numbering.xml"/><Relationship Id="rId2411436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