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844062" w:name="document"/>
    <w:bookmarkEnd w:id="81844062"/>
    <w:p/>
    <w:p>
      <w:pPr>
        <w:widowControl w:val="on"/>
        <w:pBdr/>
        <w:spacing w:before="0" w:after="280" w:line="240" w:lineRule="auto"/>
        <w:ind w:left="0" w:right="0"/>
        <w:jc w:val="left"/>
      </w:pPr>
      <w:r>
        <w:rPr>
          <w:rFonts w:ascii="Arial" w:hAnsi="Arial" w:eastAsia="Arial" w:cs="Arial"/>
          <w:color w:val="363A40"/>
          <w:sz w:val="24"/>
          <w:szCs w:val="24"/>
        </w:rPr>
        <w:t xml:space="preserve">Dokument-ID: 1135389 | Andrea Futterknecht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Unterhaltsklage eines eingetragenen Partners inklusive Antrag
auf einstweilige Verfügung</w:t>
      </w:r>
    </w:p>
    <w:p>
      <w:pPr>
        <w:widowControl w:val="on"/>
        <w:pBdr/>
        <w:spacing w:before="140" w:after="240" w:line="288" w:lineRule="auto"/>
        <w:ind w:left="0" w:right="0"/>
        <w:jc w:val="right"/>
      </w:pPr>
      <w:r>
        <w:rPr>
          <w:rFonts w:ascii="Arial" w:hAnsi="Arial" w:eastAsia="Arial" w:cs="Arial"/>
          <w:color w:val="000000"/>
          <w:sz w:val="20"/>
          <w:szCs w:val="20"/>
        </w:rPr>
        <w:t xml:space="preserve">AEV</w:t>
      </w:r>
      <w:r>
        <w:rPr>
          <w:rFonts w:ascii="Arial" w:hAnsi="Arial" w:eastAsia="Arial" w:cs="Arial"/>
          <w:color w:val="000000"/>
          <w:sz w:val="20"/>
          <w:szCs w:val="20"/>
        </w:rPr>
        <w:br/>
        <w:t xml:space="preserve">(Gebühreneinzug)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Wien Innere Stadt</w:t>
      </w:r>
      <w:r>
        <w:rPr>
          <w:rFonts w:ascii="Arial" w:hAnsi="Arial" w:eastAsia="Arial" w:cs="Arial"/>
          <w:color w:val="000000"/>
          <w:sz w:val="20"/>
          <w:szCs w:val="20"/>
        </w:rPr>
        <w:br/>
        <w:t xml:space="preserve">Marxergasse 1</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5745"/>
        <w:gridCol w:w="6345"/>
      </w:tblGrid>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Klagender und gefährdete Partei:</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Muster, geb …</w:t>
            </w:r>
            <w:r>
              <w:rPr>
                <w:rFonts w:ascii="Arial" w:hAnsi="Arial" w:eastAsia="Arial" w:cs="Arial"/>
                <w:color w:val="000000"/>
                <w:position w:val="0"/>
                <w:sz w:val="20"/>
                <w:szCs w:val="20"/>
                <w:shd w:val="clear" w:color="auto" w:fill="FFFFFF"/>
              </w:rPr>
              <w:br/>
              <w:t xml:space="preserve">Wohnweg 1/11, 1010 Wien</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Ferdinand Fuchs</w:t>
            </w:r>
            <w:r>
              <w:rPr>
                <w:rFonts w:ascii="Arial" w:hAnsi="Arial" w:eastAsia="Arial" w:cs="Arial"/>
                <w:color w:val="000000"/>
                <w:position w:val="0"/>
                <w:sz w:val="20"/>
                <w:szCs w:val="20"/>
                <w:shd w:val="clear" w:color="auto" w:fill="FFFFFF"/>
              </w:rPr>
              <w:br/>
              <w:t xml:space="preserve">Advokatenweg 1, 1010 Wien</w:t>
            </w:r>
            <w:r>
              <w:rPr>
                <w:rFonts w:ascii="Arial" w:hAnsi="Arial" w:eastAsia="Arial" w:cs="Arial"/>
                <w:color w:val="000000"/>
                <w:position w:val="0"/>
                <w:sz w:val="20"/>
                <w:szCs w:val="20"/>
                <w:shd w:val="clear" w:color="auto" w:fill="FFFFFF"/>
              </w:rPr>
              <w:br/>
              <w:t xml:space="preserve">R123456</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 und Gegner der gefährdeten Partei:</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Thomas Beispiel, geb …</w:t>
            </w:r>
            <w:r>
              <w:rPr>
                <w:rFonts w:ascii="Arial" w:hAnsi="Arial" w:eastAsia="Arial" w:cs="Arial"/>
                <w:color w:val="000000"/>
                <w:position w:val="0"/>
                <w:sz w:val="20"/>
                <w:szCs w:val="20"/>
                <w:shd w:val="clear" w:color="auto" w:fill="FFFFFF"/>
              </w:rPr>
              <w:br/>
              <w:t xml:space="preserve">Exempelgasse 2, 1010 Wien</w:t>
            </w:r>
          </w:p>
        </w:tc>
      </w:tr>
      <w:tr>
        <w:trPr>
          <w:trHeight w:val="0" w:hRule="atLeast"/>
        </w:trPr>
        <w:tc>
          <w:tcPr>
            <w:tcW w:w="57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63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Unterhalt</w:t>
            </w:r>
            <w:r>
              <w:rPr>
                <w:rFonts w:ascii="Arial" w:hAnsi="Arial" w:eastAsia="Arial" w:cs="Arial"/>
                <w:color w:val="000000"/>
                <w:position w:val="0"/>
                <w:sz w:val="20"/>
                <w:szCs w:val="20"/>
                <w:shd w:val="clear" w:color="auto" w:fill="FFFFFF"/>
              </w:rPr>
              <w:br/>
              <w:t xml:space="preserve">(RATG EUR 31.200,–)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einstweilige
Verfügung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Die Streitteile sind seit … eingetragene Partner nach dem EPG.
Derzeit ist vor dem Bezirksgericht Wien-Innere Stadt zu GZ … das
Verfahren zur Auflösung der eingetragenen Partnerschaft
anhängig.</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gegen die beklagte Partei Anspruch auf
Unterhalt.</w:t>
      </w:r>
    </w:p>
    <w:p>
      <w:pPr>
        <w:widowControl w:val="on"/>
        <w:pBdr/>
        <w:spacing w:before="140" w:after="240" w:line="288" w:lineRule="auto"/>
        <w:ind w:left="0" w:right="0"/>
        <w:jc w:val="left"/>
      </w:pPr>
      <w:r>
        <w:rPr>
          <w:rFonts w:ascii="Arial" w:hAnsi="Arial" w:eastAsia="Arial" w:cs="Arial"/>
          <w:color w:val="000000"/>
          <w:sz w:val="20"/>
          <w:szCs w:val="20"/>
        </w:rPr>
        <w:t xml:space="preserve">Der Beklagte verfügt über ein Einkommen von zumindest
EUR 8.000,– netto. Der Kläger selbst hat ein Einkommen von ca
EUR 1.000,– unter Einrechnung der anteiligen
Sonderzahlungen.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290"/>
        <w:gridCol w:w="10800"/>
      </w:tblGrid>
      <w:tr>
        <w:trPr>
          <w:trHeight w:val="0" w:hRule="atLeast"/>
        </w:trPr>
        <w:tc>
          <w:tcPr>
            <w:tcW w:w="129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Beweise:</w:t>
            </w:r>
          </w:p>
        </w:tc>
        <w:tc>
          <w:tcPr>
            <w:tcW w:w="108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Partnerschaftsurkunde</w:t>
            </w:r>
            <w:r>
              <w:rPr>
                <w:rFonts w:ascii="Arial" w:hAnsi="Arial" w:eastAsia="Arial" w:cs="Arial"/>
                <w:color w:val="000000"/>
                <w:position w:val="0"/>
                <w:sz w:val="20"/>
                <w:szCs w:val="20"/>
                <w:shd w:val="clear" w:color="auto" w:fill="FFFFFF"/>
              </w:rPr>
              <w:br/>
              <w:t xml:space="preserve">Akt 1234/2022 c</w:t>
            </w:r>
            <w:r>
              <w:rPr>
                <w:rFonts w:ascii="Arial" w:hAnsi="Arial" w:eastAsia="Arial" w:cs="Arial"/>
                <w:color w:val="000000"/>
                <w:position w:val="0"/>
                <w:sz w:val="20"/>
                <w:szCs w:val="20"/>
                <w:shd w:val="clear" w:color="auto" w:fill="FFFFFF"/>
              </w:rPr>
              <w:br/>
              <w:t xml:space="preserve">Kopie des Gehaltszettels Monat … des Klägers</w:t>
            </w:r>
            <w:r>
              <w:rPr>
                <w:rFonts w:ascii="Arial" w:hAnsi="Arial" w:eastAsia="Arial" w:cs="Arial"/>
                <w:color w:val="000000"/>
                <w:position w:val="0"/>
                <w:sz w:val="20"/>
                <w:szCs w:val="20"/>
                <w:shd w:val="clear" w:color="auto" w:fill="FFFFFF"/>
              </w:rPr>
              <w:br/>
              <w:t xml:space="preserve">Kopie des Gehaltszettels Monat … des Beklagten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Beklagte hat keine weiteren Sorgepflichten; der Kläger hat
Anspruch auf 40 % des gemeinsamen Einkommens von rund
EUR 11.000,– abzüglich seines eigenen Einkommens. Daraus
errechnet sich ein Unterhaltsanspruch des Klägers von
EUR 2.600,–, den er ab … begehrt.</w:t>
      </w:r>
    </w:p>
    <w:p>
      <w:pPr>
        <w:widowControl w:val="on"/>
        <w:pBdr/>
        <w:spacing w:before="140" w:after="240" w:line="288" w:lineRule="auto"/>
        <w:ind w:left="0" w:right="0"/>
        <w:jc w:val="left"/>
      </w:pPr>
      <w:r>
        <w:rPr>
          <w:rFonts w:ascii="Arial" w:hAnsi="Arial" w:eastAsia="Arial" w:cs="Arial"/>
          <w:color w:val="000000"/>
          <w:sz w:val="20"/>
          <w:szCs w:val="20"/>
        </w:rPr>
        <w:t xml:space="preserve">Ein Naturalunterhalt ist dem Beklagten nicht anzurechnen. Die
Partnerschaftswohnung ist eine Mietwohnung, deren Mieter der Kläger
ist und der dafür monatliche Kosten in Höhe von EUR 1.000,–
bezahlen muss, sodass ihm derzeit für seinen Lebensunterhalt nichts
mehr verbleibt. Der Beklagte ist am …022 aus dieser Wohnung
ausgezogen und lebt mit einem anderen Mann, mit dem er eine
partnerschaftswidrige Beziehung führt.</w:t>
      </w:r>
    </w:p>
    <w:p>
      <w:pPr>
        <w:widowControl w:val="on"/>
        <w:pBdr/>
        <w:spacing w:before="140" w:after="240" w:line="288" w:lineRule="auto"/>
        <w:ind w:left="0" w:right="0"/>
        <w:jc w:val="left"/>
      </w:pPr>
      <w:r>
        <w:rPr>
          <w:rFonts w:ascii="Arial" w:hAnsi="Arial" w:eastAsia="Arial" w:cs="Arial"/>
          <w:color w:val="000000"/>
          <w:sz w:val="20"/>
          <w:szCs w:val="20"/>
        </w:rPr>
        <w:t xml:space="preserve">Der Beklagte leistet – trotz Aufforderung – für den Kläger
derzeit keinen Unterhalt.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380"/>
        <w:gridCol w:w="7695"/>
      </w:tblGrid>
      <w:tr>
        <w:trPr>
          <w:trHeight w:val="0" w:hRule="atLeast"/>
        </w:trPr>
        <w:tc>
          <w:tcPr>
            <w:tcW w:w="4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 bzw Bescheinigungsmittel:</w:t>
            </w:r>
          </w:p>
        </w:tc>
        <w:tc>
          <w:tcPr>
            <w:tcW w:w="76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Kopie des Gehaltszettels Monat … des Klägers</w:t>
            </w:r>
            <w:r>
              <w:rPr>
                <w:rFonts w:ascii="Arial" w:hAnsi="Arial" w:eastAsia="Arial" w:cs="Arial"/>
                <w:color w:val="000000"/>
                <w:position w:val="0"/>
                <w:sz w:val="20"/>
                <w:szCs w:val="20"/>
                <w:shd w:val="clear" w:color="auto" w:fill="FFFFFF"/>
              </w:rPr>
              <w:br/>
              <w:t xml:space="preserve">Kopie des Gehaltszettels Monat … des Beklagten</w:t>
            </w:r>
            <w:r>
              <w:rPr>
                <w:rFonts w:ascii="Arial" w:hAnsi="Arial" w:eastAsia="Arial" w:cs="Arial"/>
                <w:color w:val="000000"/>
                <w:position w:val="0"/>
                <w:sz w:val="20"/>
                <w:szCs w:val="20"/>
                <w:shd w:val="clear" w:color="auto" w:fill="FFFFFF"/>
              </w:rPr>
              <w:br/>
              <w:t xml:space="preserve">PV des Klägers</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Kläger begehrt die Erlassung einer einstweiligen Verfügung,
die den Beklagten ab … zu einem vorläufigen Unterhalt von
EUR 1.500,– verpflichtet.</w:t>
      </w:r>
    </w:p>
    <w:p>
      <w:pPr>
        <w:widowControl w:val="on"/>
        <w:pBdr/>
        <w:spacing w:before="140" w:after="240" w:line="288" w:lineRule="auto"/>
        <w:ind w:left="0" w:right="0"/>
        <w:jc w:val="left"/>
      </w:pPr>
      <w:r>
        <w:rPr>
          <w:rFonts w:ascii="Arial" w:hAnsi="Arial" w:eastAsia="Arial" w:cs="Arial"/>
          <w:color w:val="000000"/>
          <w:sz w:val="20"/>
          <w:szCs w:val="20"/>
        </w:rPr>
        <w:t xml:space="preserve">Der Kläger beantragt somit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schuldig, der klagenden Partei einen
monatlichen Unterhalt von EUR 2.600,– ab … jeweils am ersten
eines jeweiligen Monats sowie die Kosten dieses Verfahrens binnen
14 Tagen bei sonstiger Exekution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Zur Vermeidung von Wiederholungen verweist die gefährdete Partei
auf ihr unter Punkt I. erstattetes Vorbringen und beantragt die
Erlassung der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Einstweiligen Verfügung:</w:t>
      </w:r>
    </w:p>
    <w:p>
      <w:pPr>
        <w:widowControl w:val="on"/>
        <w:pBdr/>
        <w:spacing w:before="140" w:after="240" w:line="288" w:lineRule="auto"/>
        <w:ind w:left="0" w:right="0"/>
        <w:jc w:val="left"/>
      </w:pPr>
      <w:r>
        <w:rPr>
          <w:rFonts w:ascii="Arial" w:hAnsi="Arial" w:eastAsia="Arial" w:cs="Arial"/>
          <w:color w:val="000000"/>
          <w:sz w:val="20"/>
          <w:szCs w:val="20"/>
        </w:rPr>
        <w:t xml:space="preserve">Der Gegner der gefährdeten Partei ist schuldig, der gefährdeten
Partei einen vorläufigen monatlichen Unterhalt von EUR 1.500,–
am Ersten eines jeden Monats bis zu einer rechtskräftigen
Erledigung des Unterhaltsverfahrens zu bezahlen.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490874" w:name="note1"/>
            <w:bookmarkEnd w:id="65490874"/>
            <w:bookmarkStart w:id="4812937037719" w:name="note1"/>
            <w:r>
              <w:rPr>
                <w:rFonts w:ascii="Arial" w:hAnsi="Arial" w:eastAsia="Arial" w:cs="Arial"/>
                <w:b/>
                <w:bCs/>
                <w:color w:val="000000"/>
                <w:position w:val="0"/>
                <w:sz w:val="20"/>
                <w:szCs w:val="20"/>
              </w:rPr>
              <w:t xml:space="preserve">[1]</w:t>
            </w:r>
            <w:bookmarkEnd w:id="48129370377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20 EPG regelt den Unterhaltsanspruch eines eingetragenen
Partners bzw einer eingetragenen Partnerin für den Fall der
verschuldeten Auflösung. Abs 1 enthält den Grundsatz des
verschuldensabhängigen Unterhaltsanspruchs, Abs 2 eine
Bemessungs- und Minderungsregel und Abs 3 die
Unterhaltspflicht bei beidseitig gleichteiligem Verschulden.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642387" w:name="note2"/>
            <w:bookmarkEnd w:id="20642387"/>
            <w:bookmarkStart w:id="4792567067402" w:name="note2"/>
            <w:r>
              <w:rPr>
                <w:rFonts w:ascii="Arial" w:hAnsi="Arial" w:eastAsia="Arial" w:cs="Arial"/>
                <w:b/>
                <w:bCs/>
                <w:color w:val="000000"/>
                <w:position w:val="0"/>
                <w:sz w:val="20"/>
                <w:szCs w:val="20"/>
              </w:rPr>
              <w:t xml:space="preserve">[2]</w:t>
            </w:r>
            <w:bookmarkEnd w:id="47925670674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allein oder überwiegend schuldige eingetragene Partner hat
dem anderen, soweit dessen Einkünfte aus Vermögen und die
Erträgnisse einer Erwerbstätigkeit, die von ihm den Umständen nach
erwartet werden kann, nicht ausreichen, den nach den
Lebensverhältnissen der eingetragenen Partner angemessenen
Unterhalt zu gewähren.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allein oder überwiegend schuldige eingetragene Partner
durch Gewährung des bestimmten Unterhalts bei Berücksichtigung
seiner sonstigen Verpflichtungen den eigenen angemessenen Unterhalt
gefährdet, braucht er nur so viel zu leisten, als es mit Rücksicht
auf die Bedürfnisse und die Vermögens- und Erwerbsverhältnisse
beider Teile der Billigkeit entspricht. Hat der Verpflichtete einem
Kind, einem neuen Ehegatten oder einem neuen eingetragenen Partner
Unterhalt zu gewähren, so sind auch die Bedürfnisse und die
wirtschaftlichen Verhältnisse dieser Personen zu berücksichtigen.
Ein eingetragener Partner ist bei Gefährdung des eigenen
angemessenen Unterhalts von der Unterhaltspflicht ganz befreit,
wenn der andere den Unterhalt aus dem Stamm seines Vermögens
bestreiten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885733" w:name="note3"/>
            <w:bookmarkEnd w:id="14885733"/>
            <w:bookmarkStart w:id="6275119036405" w:name="note3"/>
            <w:r>
              <w:rPr>
                <w:rFonts w:ascii="Arial" w:hAnsi="Arial" w:eastAsia="Arial" w:cs="Arial"/>
                <w:b/>
                <w:bCs/>
                <w:color w:val="000000"/>
                <w:position w:val="0"/>
                <w:sz w:val="20"/>
                <w:szCs w:val="20"/>
              </w:rPr>
              <w:t xml:space="preserve">[3]</w:t>
            </w:r>
            <w:bookmarkEnd w:id="62751190364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beide eingetragenen Partner schuldig, trägt aber keiner die
überwiegende Schuld, so kann dem eingetragenen Partner, der sich
nicht selbst erhalten kann, ein Beitrag zu seinem Unterhalt
zugebilligt werden, wenn und soweit dies mit Rücksicht auf die
Bedürfnisse und die Vermögens- und Erwerbsverhältnisse sowie
Unterhaltspflichten des anderen Teils der Billigkeit entspricht.
Die Beitragspflicht kann zeitlich beschränkt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72383" w:name="note4"/>
            <w:bookmarkEnd w:id="9372383"/>
            <w:bookmarkStart w:id="5017243571244" w:name="note4"/>
            <w:r>
              <w:rPr>
                <w:rFonts w:ascii="Arial" w:hAnsi="Arial" w:eastAsia="Arial" w:cs="Arial"/>
                <w:b/>
                <w:bCs/>
                <w:color w:val="000000"/>
                <w:position w:val="0"/>
                <w:sz w:val="20"/>
                <w:szCs w:val="20"/>
              </w:rPr>
              <w:t xml:space="preserve">[4]</w:t>
            </w:r>
            <w:bookmarkEnd w:id="50172435712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sich ein eingetragener Partner während eingetragener
Partnerschaft aufgrund ihrer einvernehmlichen Gestaltung der
Haushaltsführung oder der Betreuung eines Angehörigen eines der
eingetragenen Partner gewidmet und kann ihm aufgrund des dadurch
bedingten Mangels an Erwerbsmöglichkeiten, etwa wegen mangelnder
beruflicher Aus- oder Fortbildung, der Dauer der eingetragenen
Partnerschaft, seines Alters oder seiner Gesundheit, nicht
zugemutet werden, sich ganz oder zum Teil selbst zu erhalten, so
hat ihm insoweit der andere Teil unabhängig vom Verschulden den
Unterhalt nach dessen Lebensbedarf zu gewähren. Wird der
Unterhaltsanspruch gerichtlich festgesetzt, so hat ihn das Gericht
jeweils auf längstens drei Jahre zu befristen, wenn erwartet werden
kann, dass der bedürftige eingetragene Partner danach in der Lage
sein wird, seinen Unterhalt, insbesondere durch eine zumutbare
Erwerbstätigkeit, zu sichern. Der Unterhaltsanspruch vermindert
sich oder besteht nicht, soweit die Gewährung des Unterhalts
unbillig wäre, weil der bedürftige eingetragene Partner einseitig
besonders schwerwiegende Verfehlungen begangen oder seine
Bedürftigkeit grob schuldhaft herbeigeführt hat oder ein gleich
schwerwiegender Grund vorliegt oder weil die eingetragene
Partnerschaft nur kurz gedauert hat. Je gewichtiger diese Gründe
sind, desto eher ist vom bedürftigen eingetragenen Partner zu
verlangen, seinen Unterhalt durch die Erträgnisse einer anderen als
einer zumutbaren Erwerbstätigkeit oder aus dem Stamm seines
Vermögens zu decken. § 21 Abs 2 erster und zweiter Satz
EPG gilt entsprechend (§ 20 Abs 4 EPG).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20 Abs 4 EPG entspricht den Regelungen des
§ 68a EheG über den verschuldensunabhängigen
Unterhaltsanspruch mit der Maßgabe, dass die Bezugnahme auf die
Pflege und Erziehung eines gemeinsamen Kindes nicht übernommen
werden sollte. Sollte die Kinderbetreuung eine Rolle spielen, so
werden die scheidungsrechtlichen Regelungen analog heranzuziehen
sein. Nicht übernommen wurde auch die in der Systematik des EheG
begründete Verweisungsvorschrift des § 69 Abs 1 EheG.
Ihre Regelung geht nämlich in § 20 Abs 1 und 2 EPG auf,
weil sich diese auf den allein oder überwiegend schuldigen Teil
beziehen, somit davon ausgehen, dass das Urteil einen
Schuldausspruch enthält. Dadurch entsteht keine Abweichung vom
geltenden Eherecht.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256298" w:name="note5"/>
            <w:bookmarkEnd w:id="47256298"/>
            <w:bookmarkStart w:id="7038491608330" w:name="note5"/>
            <w:r>
              <w:rPr>
                <w:rFonts w:ascii="Arial" w:hAnsi="Arial" w:eastAsia="Arial" w:cs="Arial"/>
                <w:b/>
                <w:bCs/>
                <w:color w:val="000000"/>
                <w:position w:val="0"/>
                <w:sz w:val="20"/>
                <w:szCs w:val="20"/>
              </w:rPr>
              <w:t xml:space="preserve">[5]</w:t>
            </w:r>
            <w:bookmarkEnd w:id="70384916083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Enthält das Urteil keinen Schuldausspruch, so hat der
eingetragene Partner, der die Auflösung der eingetragenen
Partnerschaft verlangt hat, dem anderen Unterhalt zu gewähren, wenn
und soweit dies mit Rücksicht auf die Bedürfnisse und die
Vermögens- und Erwerbsverhältnisse beider Teile und der
unterhaltspflichtigen Verwandten des berechtigten eingetragenen
Partners der Billigkeit entspricht. § 20 Abs 2 EPG gilt
entsprechend.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aufgrund einer Vereinbarung nach § 15 Abs 5 EPG (=
einvernehmliche Auflösung) geschuldete Unterhalt ist einem
gesetzlichen Unterhalt gleichzuhalten, soweit er den
Lebensverhältnissen beider eingetragener Partner angemessen ist.
Mangels einer rechtswirksamen Vereinbarung über die
unterhaltsrechtlichen Beziehungen beider Teile im Fall einer
Auflösung nach § 15 Abs 5 EPG hat ein eingetragener
Partner dem anderen Unterhalt zu gewähren, soweit dies mit
Rücksicht auf die Bedürfnisse und die Vermögens- und
Erwerbsverhältnisse beider Teile und der unterhaltspflichtigen
Verwandten des berechtigten Teils der Billigkeit entspricht.
§ 20 Abs 2 EPG gilt entsprechend.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unterhaltsberechtigter eingetragener Partner, der infolge
eigenen Verschuldens bedürftig ist, kann nur den notdürftigen
Unterhalt verlangen. Ein Mehrbedarf, der durch grobes Verschulden
des unterhaltsberechtigten eingetragenen Partners herbeigeführt
ist, begründet keinen Anspruch auf erhöhten Unterhalt.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75764">
    <w:multiLevelType w:val="hybridMultilevel"/>
    <w:lvl w:ilvl="0" w:tplc="69921541">
      <w:start w:val="1"/>
      <w:numFmt w:val="decimal"/>
      <w:lvlText w:val="%1."/>
      <w:lvlJc w:val="left"/>
      <w:pPr>
        <w:ind w:left="720" w:hanging="360"/>
      </w:pPr>
    </w:lvl>
    <w:lvl w:ilvl="1" w:tplc="69921541" w:tentative="1">
      <w:start w:val="1"/>
      <w:numFmt w:val="lowerLetter"/>
      <w:lvlText w:val="%2."/>
      <w:lvlJc w:val="left"/>
      <w:pPr>
        <w:ind w:left="1440" w:hanging="360"/>
      </w:pPr>
    </w:lvl>
    <w:lvl w:ilvl="2" w:tplc="69921541" w:tentative="1">
      <w:start w:val="1"/>
      <w:numFmt w:val="lowerRoman"/>
      <w:lvlText w:val="%3."/>
      <w:lvlJc w:val="right"/>
      <w:pPr>
        <w:ind w:left="2160" w:hanging="180"/>
      </w:pPr>
    </w:lvl>
    <w:lvl w:ilvl="3" w:tplc="69921541" w:tentative="1">
      <w:start w:val="1"/>
      <w:numFmt w:val="decimal"/>
      <w:lvlText w:val="%4."/>
      <w:lvlJc w:val="left"/>
      <w:pPr>
        <w:ind w:left="2880" w:hanging="360"/>
      </w:pPr>
    </w:lvl>
    <w:lvl w:ilvl="4" w:tplc="69921541" w:tentative="1">
      <w:start w:val="1"/>
      <w:numFmt w:val="lowerLetter"/>
      <w:lvlText w:val="%5."/>
      <w:lvlJc w:val="left"/>
      <w:pPr>
        <w:ind w:left="3600" w:hanging="360"/>
      </w:pPr>
    </w:lvl>
    <w:lvl w:ilvl="5" w:tplc="69921541" w:tentative="1">
      <w:start w:val="1"/>
      <w:numFmt w:val="lowerRoman"/>
      <w:lvlText w:val="%6."/>
      <w:lvlJc w:val="right"/>
      <w:pPr>
        <w:ind w:left="4320" w:hanging="180"/>
      </w:pPr>
    </w:lvl>
    <w:lvl w:ilvl="6" w:tplc="69921541" w:tentative="1">
      <w:start w:val="1"/>
      <w:numFmt w:val="decimal"/>
      <w:lvlText w:val="%7."/>
      <w:lvlJc w:val="left"/>
      <w:pPr>
        <w:ind w:left="5040" w:hanging="360"/>
      </w:pPr>
    </w:lvl>
    <w:lvl w:ilvl="7" w:tplc="69921541" w:tentative="1">
      <w:start w:val="1"/>
      <w:numFmt w:val="lowerLetter"/>
      <w:lvlText w:val="%8."/>
      <w:lvlJc w:val="left"/>
      <w:pPr>
        <w:ind w:left="5760" w:hanging="360"/>
      </w:pPr>
    </w:lvl>
    <w:lvl w:ilvl="8" w:tplc="69921541" w:tentative="1">
      <w:start w:val="1"/>
      <w:numFmt w:val="lowerRoman"/>
      <w:lvlText w:val="%9."/>
      <w:lvlJc w:val="right"/>
      <w:pPr>
        <w:ind w:left="6480" w:hanging="180"/>
      </w:pPr>
    </w:lvl>
  </w:abstractNum>
  <w:abstractNum w:abstractNumId="59875763">
    <w:multiLevelType w:val="hybridMultilevel"/>
    <w:lvl w:ilvl="0" w:tplc="35597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75763">
    <w:abstractNumId w:val="59875763"/>
  </w:num>
  <w:num w:numId="59875764">
    <w:abstractNumId w:val="59875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36156986" Type="http://schemas.openxmlformats.org/officeDocument/2006/relationships/numbering" Target="numbering.xml"/><Relationship Id="rId4895742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