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2979749" w:name="document"/>
    <w:bookmarkEnd w:id="52979749"/>
    <w:p/>
    <w:p>
      <w:pPr>
        <w:widowControl w:val="on"/>
        <w:pBdr/>
        <w:spacing w:before="0" w:after="280" w:line="240" w:lineRule="auto"/>
        <w:ind w:left="0" w:right="0"/>
        <w:jc w:val="left"/>
      </w:pPr>
      <w:r>
        <w:rPr>
          <w:rFonts w:ascii="Arial" w:hAnsi="Arial" w:eastAsia="Arial" w:cs="Arial"/>
          <w:color w:val="363A40"/>
          <w:sz w:val="24"/>
          <w:szCs w:val="24"/>
        </w:rPr>
        <w:t xml:space="preserve">Dokument-ID: 1135410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(Schul- und Urlaubskosten, Sonderbedarf,
Krankenzusatzversicherung, Versicherung zur Kostendeckung)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Scheidungsfolgenvereinbarung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Alina Huber, geboren am 1. Mai 1979</w:t>
      </w:r>
      <w:r>
        <w:rPr>
          <w:rFonts w:ascii="Arial" w:hAnsi="Arial" w:eastAsia="Arial" w:cs="Arial"/>
          <w:color w:val="000000"/>
          <w:sz w:val="20"/>
          <w:szCs w:val="20"/>
        </w:rPr>
        <w:br/>
        <w:t xml:space="preserve">Angestellte</w:t>
      </w:r>
      <w:r>
        <w:rPr>
          <w:rFonts w:ascii="Arial" w:hAnsi="Arial" w:eastAsia="Arial" w:cs="Arial"/>
          <w:color w:val="000000"/>
          <w:sz w:val="20"/>
          <w:szCs w:val="20"/>
        </w:rPr>
        <w:br/>
        <w:t xml:space="preserve">Rochusgasse 13/17</w:t>
      </w:r>
      <w:r>
        <w:rPr>
          <w:rFonts w:ascii="Arial" w:hAnsi="Arial" w:eastAsia="Arial" w:cs="Arial"/>
          <w:color w:val="000000"/>
          <w:sz w:val="20"/>
          <w:szCs w:val="20"/>
        </w:rPr>
        <w:br/>
        <w:t xml:space="preserve">1030 Wien</w:t>
      </w:r>
      <w:r>
        <w:rPr>
          <w:rFonts w:ascii="Arial" w:hAnsi="Arial" w:eastAsia="Arial" w:cs="Arial"/>
          <w:color w:val="000000"/>
          <w:sz w:val="20"/>
          <w:szCs w:val="20"/>
        </w:rPr>
        <w:br/>
        <w:t xml:space="preserve">in der Folge kurz: Ehefrau</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Bertram Huber, geboren am 13. Dezember 1972</w:t>
      </w:r>
      <w:r>
        <w:rPr>
          <w:rFonts w:ascii="Arial" w:hAnsi="Arial" w:eastAsia="Arial" w:cs="Arial"/>
          <w:color w:val="000000"/>
          <w:sz w:val="20"/>
          <w:szCs w:val="20"/>
        </w:rPr>
        <w:br/>
        <w:t xml:space="preserve">Unternehmer</w:t>
      </w:r>
      <w:r>
        <w:rPr>
          <w:rFonts w:ascii="Arial" w:hAnsi="Arial" w:eastAsia="Arial" w:cs="Arial"/>
          <w:color w:val="000000"/>
          <w:sz w:val="20"/>
          <w:szCs w:val="20"/>
        </w:rPr>
        <w:br/>
        <w:t xml:space="preserve">Salmgasse 7/17</w:t>
      </w:r>
      <w:r>
        <w:rPr>
          <w:rFonts w:ascii="Arial" w:hAnsi="Arial" w:eastAsia="Arial" w:cs="Arial"/>
          <w:color w:val="000000"/>
          <w:sz w:val="20"/>
          <w:szCs w:val="20"/>
        </w:rPr>
        <w:br/>
        <w:t xml:space="preserve">1030 Wien</w:t>
      </w:r>
      <w:r>
        <w:rPr>
          <w:rFonts w:ascii="Arial" w:hAnsi="Arial" w:eastAsia="Arial" w:cs="Arial"/>
          <w:color w:val="000000"/>
          <w:sz w:val="20"/>
          <w:szCs w:val="20"/>
        </w:rPr>
        <w:br/>
        <w:t xml:space="preserve">in der Folge kurz: Ehemann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Ehegattenunterhalt</w:t>
      </w:r>
    </w:p>
    <w:p>
      <w:pPr>
        <w:widowControl w:val="on"/>
        <w:pBdr/>
        <w:spacing w:before="140" w:after="240" w:line="288" w:lineRule="auto"/>
        <w:ind w:left="0" w:right="0"/>
        <w:jc w:val="left"/>
      </w:pPr>
      <w:r>
        <w:rPr>
          <w:rFonts w:ascii="Arial" w:hAnsi="Arial" w:eastAsia="Arial" w:cs="Arial"/>
          <w:color w:val="000000"/>
          <w:sz w:val="20"/>
          <w:szCs w:val="20"/>
        </w:rPr>
        <w:t xml:space="preserve">Die Ehegatten und Antragsteller Alina Huber und Bertram Huber
erklären in Kenntnis der einschlägigen Rechtsprechung des OGH (3 Ob
229/98t; 6 Ob 163/04w; 7 Ob 98/05w; 6 Ob 212/08g) und ihrer
jeweiligen Einkommens- und Vermögensverhältnisse, wechselseitig auf
jegliche Unterhaltsansprüche aus welchem Titel auch immer zu
verzichten. Dies gilt auch für den Fall geänderter Verhältnisse,
insbesondere auch für den Fall der erwarteten oder unerwarteten,
der verschuldeten oder unverschuldeten sowie der bedachten oder
derzeit nicht bedachten Not eines der beiden. Weiters erklären die
Antragsteller in diesem Zusammenhang, dass sie sich so auseinander
gelebt haben, dass keine dem Wesen der Ehe entsprechende
Lebensgemeinschaft mehr besteht, ohne dass hieraus wechselseitige
Vorwürfe erhoben werden, die die Qualität eines
Ehescheidungsgrundes darstellen, sodass die Antragsteller auch
unter diesem Gesichtspunkt keine Basis für wechselseitige
Unterhaltsansprüche sehen. Sie nehmen diesen Unterhaltsverzicht
wechselseitig an. Der Unterhaltsverzicht gilt somit auch dann, wenn
Ereignisse, die für die Ehegatten heute noch nicht absehbar sind,
die Verhältnisse, welche diesem Unterhaltsverzicht zugrunde liegen,
wesentlich ändern.</w:t>
      </w:r>
    </w:p>
    <w:p>
      <w:pPr>
        <w:widowControl w:val="on"/>
        <w:pBdr/>
        <w:spacing w:before="140" w:after="240" w:line="288" w:lineRule="auto"/>
        <w:ind w:left="0" w:right="0"/>
        <w:jc w:val="left"/>
      </w:pPr>
      <w:r>
        <w:rPr>
          <w:rFonts w:ascii="Arial" w:hAnsi="Arial" w:eastAsia="Arial" w:cs="Arial"/>
          <w:color w:val="000000"/>
          <w:sz w:val="20"/>
          <w:szCs w:val="20"/>
        </w:rPr>
        <w:t xml:space="preserve">Weiters wird einvernehmlich festgehalten, dass kein
Unterhaltsrückstand besteht.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Mj Tochter Emily und Valerie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Obsorge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Obsorge hinsichtlich der gemeinsamen mj Töchter Emily Huber,
geboren am 12. Februar 2014, und Valerie Huber, geboren am 12.
Dezember 2016, steht auch nach der Ehescheidung weiterhin beiden
Ehegatten gemeinsam zu.</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beiden mj Töchter Emily und Valerie werden nach der
Ehescheidung hauptsächlich im Haushalt der Ehefrau betreut und dort
ihren ordentlichen Wohnsitz haben. Infolge Festlegung des
Hauptwohnsitzes der beiden Töchter bei der Ehefrau wird diese die
Familienbeihilfe für die beiden Töchter beziehen.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Ehegatten halten ihren Willen fest, im Sinne einer
verantwortungsvollen Elternschaft das Wohl der beiden Töchter in
das Zentrum ihres Handelns bei der Gestaltung der Obsorge und der
persönlichen Kontakte zu stellen und sich zu bemühen, die Bindung
der Kinder an den jeweils anderen Elternteil in einer positiven
Form zu erhalten und zu fördern.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Beiden Eltern ist bewusst, dass es einem grundlegenden
kindlichen Bedürfnis entspricht, gute und enge Kontakte zu beiden
Elternteilen zu haben und stabile Bindungen zu entwickeln und diese
aufrecht zu erhalten.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Sie verpflichten sich, keine Handlungen zu setzen, welche die
Beziehung der Kinder zum anderen Elternteil belasten oder
beeinträchtigen würden und insbesondere die Kinder nicht gegen den
anderen Elternteil zu beeinflussen.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Überdies werden sich beide Eltern bemühen, dem jeweils anderen
in Gegenwart der Kinder und auch bei Meinungsverschiedenheiten mit
Achtung und Respekt zu begegnen.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haben eine Beratung über die aus der Scheidung der
Ehe resultierenden Bedürfnisse der Kinder iSd § 95a Abs 1
AußStrG in Anspruch genommen und weisen dies durch Vorlage der
Teilnahmebestätigung nach.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Kontaktrecht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erhält zu seinen beiden Töchtern Emily und Valerie
in den geraden Kalenderwochen ein Kontaktrecht im Ausmaß von
Samstag von 8:00 Uhr bis Sonntag 19:00 Uhr sowie in den ungeraden
Kalenderwochen von Mittwoch, 16:00 Uhr bis Donnerstag 8 Uhr.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beabsichtigen, an einem der
Wochenend-Kontaktrechtstagen mit den beiden Kindern allenfalls
gemeinsam etwas zu unternehmen.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ist berechtigt, regelmäßig unter Rücksichtnahme auf
die Schul- und Schlafenszeit der beiden Kinder, mit diesen
telefonischen Kontakt aufzunehmen und verpflichtet sich die
Ehegattin, diese Kontaktaufnahme zuzulassen und auch zu
ermöglichen.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Schulferien: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Vereinbart wird, dass der Ehemann mit den beiden Töchtern und
der Ehefrau jährlich in der zweiten Augustwoche gemeinsam eine
Woche Urlaub verbringt. Der Ehemann sucht das Reiseziel aus und
übernimmt sämtliche Kosten für die beiden Töchter, die Ehefrau
verpflichtet sich, ihren Anteil an den Urlaubskosten selbst zu
bezahlen.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ist darüber hinaus berechtigt, mit den beiden
Töchtern jährlich die zweite Juliwoche zu verbringen bzw auch in
dieser Woche auf Urlaub zu fahren. Der Ehemann ist aber auch
berechtigt, die zweite Juliwoche mit den beiden Töchtern dergestalt
zu verbringen, dass er mit ihnen nur tage- oder stundenweise
Freizeitaktivitäten unternimmt und die Töchter in dieser Zeit
allenfalls auch bei der Ehefrau übernachten.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sämtliche Planungen und
Entscheidungen betreffend Urlaubsort nach vorheriger Rücksprache
mit der Ehefrau durchzuführen.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halten fest, dass sie die bis Ende des Jahres 2023
anstehenden Kontaktrechtszeiten des Ehemannes zum Zeitpunkt der
einvernehmlichen Ehescheidung bereits einvernehmlich geregelt und
schriftlich festgehalten haben.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vereinbaren, nach Ablauf von zwei Jahren das
Kontaktrecht des Ehemannes unter Berücksichtigung des Kindeswohls
neu zu evaluieren und zu regeln und darüber auch notwendigenfalls
eine schriftliche Vereinbarung zu treffen.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vereinbaren, dass der Ehemann die Ehefrau
unabhängig von der Kontaktrechtsregelung bei Terminkollisionen, die
sich bei der Betreuung der beiden Töchter ergeben, unterstützt.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Terminkollision gilt beispielsweise, dass eine der beiden
Töchter einen Arzttermin hat und die andere Tochter zu diesem
Zeitpunkt krank ist. Nachdem beide Töchter in dieselbe Schule
gehen, wird es auch anlässlich von Elternsprechtagen zu einer
Terminkollision kommen. Der Ehemann erklärt seine Zusicherung, die
Ehefrau diesbezüglich bei derartigen oder ähnlichen Terminen nach
Möglichkeit zu unterstützen, sodass zB jeder Ehegatte die
Sprechstunden betreffend eine Tochter wahrnehmen kann. Der
Ehegatte, welcher an einer Sprechstunde nicht teilnehmen kann,
verpflichtet sich, den abwesenden Elternteil unverzüglich über das
Ergebnis zu informieren.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Kindesunterhalt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bei sonstiger Exekution, zum
Unterhalt seiner mj Tochter Emily, geboren am 12. Februar 2014,
einen monatlichen Unterhaltsbeitrag von EUR 1.000,– sowie zum
Unterhalt seiner mj Tochter Valerie, geboren am 12. Dezember 2016,
einen monatlichen Unterhaltsbeitrag von EUR 1.000,–, jeweils
fällig am Ersten eines Monates im Vorhinein bei fünftägigem
Respiro, beginnend mit dem der Ehescheidung folgenden Monat zu
Handen der Ehefrau zu bezahlen. Einvernehmlich wird festgehalten,
dass keine Unterhaltsrückstände bestehen.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der Ehemann über ein monatliches
Nettoeinkommen verfügt, welches den zweifachen Regelbedarf
rechtfertigt.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verpflichtet sich der Ehemann, bei sonstiger
Exekution bis zur jeweiligen Volljährigkeit der beiden Töchter
Emily und Valerie, sämtliche Kosten der Piaristenschule oder einer
vergleichbaren Schule unter Anerkennung seiner diesbezüglichen
Rechtspflicht zusätzlich und ohne Anrechnung zum jeweiligen
Kindesunterhalt zu bezahlen.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in diesem Zusammenhang, dass der Ehemann
hinsichtlich der gesamten, voraussichtlich bis zum 18. Lebensjahr
anfallenden Schulkosten, für die beiden Töchter Emily und Valerie
jeweils bei der ABC-Versicherung zu den Polizzennummern … (Emily)
und … (Valerie) eine Ablebensrisikoversicherung mit fallender
Versicherungssumme abgeschlossen hat.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weiters, zusätzlich zum
Kindesunterhalt und zu den Schulkosten, jedoch ohne Anrechnung,
jährlich jeweils am 1. Mai und am 1. August der Kindesmutter
pro Kind je einen Betrag von EUR 3.000,–, jährlich pro Kind,
sohin insgesamt EUR 6.000,–, dies bei sonstiger Exekution, zu
bezahlen.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in diesem Zusammenhang, dem
Ehemann durch Vorlage von Rechnungen nachzuweisen, dass sie diese
Beträge jeweils für Bekleidungskosten (darunter fällt ua auch
Sportbekleidung und Sportausrüstung) betreffend die beiden Töchter
ausgegeben hat. Für den Fall, dass über diese bestimmten Ausgaben
keine Rechnungen vorgelegt werden können und/oder nicht der gesamte
Betrag ausgegeben wurde, ist dieser nicht belegte bzw nicht
verbrauchte Betrag auf die nächste Zahlungspflicht anzurechnen.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verpflichtet sich der Ehemann, zusätzlich und
ohne Anrechnung auf den Kindesunterhalt, einen monatlichen
Pauschalbetrag von EUR 250,– pro Kind ab erstmaliger
nachweislicher Aufforderung durch die Ehefrau, jeweils fällig am
Ersten eines Monates im Vorhinein bei fünftägigem Respiro, bei
sonstiger Exekution an die Ehefrau zu bezahlen, sofern die beiden
Töchter nachweislich Sportarten ausüben und/oder nachweislich die
Musikschule besuchen und dementsprechend in diesem Zusammenhang
Kosten anfallen.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dem Ehemann die Ausübung des
Sports oder der Musikschule durch Belege nachzuweisen. Sofern die
beiden Töchter Nachhilfe benötigen, wird der Ehemann diese Kosten
ebenso übernehmen. Dem Ehemann wird das Recht eingeräumt sich von
einem allfälligen Nachhilfebedarf durch Rücksprache mit dem für das
Fach zuständigen Lehrkörper zu überzeugen.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verpflichtet sich der Ehemann, für beide Töchter jeweils
bis zu deren Selbsterhaltungsfähigkeit die monatlichen Kosten der
Krankenzusatzversicherung zu übernehmen.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darüber hinaus, bis zum 18.
Geburtstag von Valerie für den Urlaub der Ehefrau mit den beiden
Töchtern jährlich zweimal EUR 5.000,–, dies am 15. Mai und am
15. Dezember, bei sonstiger Exekution zu bezahlen. Die Ehefrau
verpflichtet sich, dabei diese Urlaube dem Alter der beiden Töchter
entsprechend zu gestalten und dem Ehemann die bestätigten Buchungen
jeweils bis zum 1. Mai und 1. Dezember nachzuweisen.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dieser Nachweis nicht fristgerecht erbracht
wird, ist der Ehegatte von seiner Zahlungsverpflichtung für den
betreffenden Urlaub befreit. Sollte ein Urlaub, aus welchen Gründen
auch immer nicht stattfinden, so ist ein allfällig bereits
bezahlter Betrag an den Ehegatten und Kindesvater binnen eines
Monats zu refundieren bzw ist der vereinbarte Betrag nicht zur
Zahlung fällig.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der Ehemann die Schulkosten,
Bekleidungskosten, monatliche Pauschale für Sport und Musik sowie
Urlaubskosten zur Gänze in Entsprechung der gegenständlichen
Vereinbarung jeweils fristgerecht bezahlt, verzichtet die Ehefrau
hinsichtlich des pro Kind mit EUR 1.000,– vereinbarten
Kindesunterhaltes, mit Ausnahme einer jährlichen Indexanpassung bis
zum jeweils 18. Lebensjahr auf eine Erhöhung dieses Betrages.</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Sonderbedarf:</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Hinsichtlich des Sonderbedarfs vereinbaren die beiden Ehegatten,
dass die diesbezüglichen Kosten jeweils im Verhältnis 3:1, nämlich
zu 75 % vom Ehemann und zu 25 % von der Ehefrau getragen
werden.</w:t>
                  </w:r>
                </w:p>
              </w:tc>
            </w:tr>
          </w:tbl>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Ehewohnung</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Ehefrau …/…-tel Eigentümerin der EZ
… KG … Innere Stadt ist, mit welchen Anteilen untrennbar
Wohnungseigentum an Wohnung … (B-LNR …) verbunden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genannte Wohnung W… in 1010 Wien, Domgasse 17, stellt die
bisherige Ehewohnung dar und hat nachfolgenden Grundbuchsstand: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[Grundbuchsauszug einfügen!]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anerkennt das Eigentum der Ehefrau an den im Punkt
III. a näher bezeichneten Liegenschaftsanteilen.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ist bereits aus der ehelichen Wohnung W* unter Mitnahme
sämtlicher persönlicher Fahrnisse ausgezogen und anerkennt, dass
sämtliche in der genannten Wohnung befindlichen Gegenstände im
Alleineigentum der Ehefrau stehen.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binnen 14 Tagen ab Aufforderung
sämtliche allenfalls mit der Übernahme von Verträgen betreffend die
eheliche Wohnung W** notwendigen Erklärungen abzugeben.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IV. Eheliche Schulden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nach den übereinstimmenden Angaben der
beiden Ehegatten keine gemeinsamen Kredite oder sonstigen
gemeinsamen Verbindlichkeiten bestehen.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 Eheliches Vermögen (Liegenschaften)</w:t>
      </w:r>
    </w:p>
    <w:p>
      <w:pPr>
        <w:widowControl w:val="on"/>
        <w:pBdr/>
        <w:spacing w:before="140" w:after="240" w:line="288" w:lineRule="auto"/>
        <w:ind w:left="0" w:right="0"/>
        <w:jc w:val="left"/>
      </w:pPr>
      <w:r>
        <w:rPr>
          <w:rFonts w:ascii="Arial" w:hAnsi="Arial" w:eastAsia="Arial" w:cs="Arial"/>
          <w:color w:val="000000"/>
          <w:sz w:val="20"/>
          <w:szCs w:val="20"/>
        </w:rPr>
        <w:t xml:space="preserve">Folgende Liegenschaften stehen im Eigentum der Ehegatten bzw
eines Ehegatten: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[Grundbuchsauszug einfügen!]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Alina Huber, geboren am 01.05.1979, überträgt im
Zuge der einvernehmlichen Ehescheidung den ihr gehörigen
Viertelanteil (B-LNR …) an der Liegenschaft EZ …, Katastralgemeinde
…, Bezirksgericht …, Grundstücksnr …, Bauf (Gebäude), Gärten
(Gärten), Grundstücksadresse …, an den Ehemann Bertram Huber, geb
13. Dezember 1972, sodass dieser unter Zusammenziehung der ihm
bereits gehörigen 3/4-Anteile (B-LNr …) Alleineigentümer der
vorgenannten Liegenschaft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erteilt sie ihre ausdrückliche Zustimmung, dass sowohl
das zu ihren Gunsten sub C-LNR … einverleibte Belastungs- und
Veräußerungsverbot als auch das sub C-LNr … einverleibte
Vorkaufsrecht gelöscht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erteilt die Ehefrau Alina Huber, geb 01.05.1979, ihre
ausdrückliche und unwiderrufliche Zustimmung, dass aufgrund dieses
Vergleiches ohne ihr weiteres Wissen, nicht jedoch auf ihre Kosten,
ob des ihr grundbücherlich gehörigen Viertelanteils (B-LNR …) an
der Liegenschaft EZ …, Katastralgemeinde …, Bezirksgericht …,
Grundstücksnr …, Bauf (Gebäude), Gärten (Gärten),
Grundstücksadresse …, …, die Einverleibung des Eigentumsrechtes für
den Ehemann Bertram Huber, geb 13.12.1972,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Alina Huber, geb 01.05.1979, erteilt weiters ihre
ausdrückliche und unwiderrufliche Zustimmung, dass aufgrund dieses
Vergleiches ohne ihr weiteres Wissen, nicht jedoch auf ihre Kosten,
ob des ihr grundbücherlich gehörigen Viertelanteils (B-LNR …) an
der Liegenschaft EZ …, Katastralgemeinde …, Bezirksgericht …,
Grundstücksnr …, Bauf (Gebäude), Gärten (Gärten),
Grundstücksadresse …, …, die Löschung des zu ihren Gunsten sub
C-LNR … einverleibten Belastungs- und Veräußerungsverbotes sowie
des sub C-LNR … einverleibten Vorkaufsrechtes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hat hinsichtlich der Kreditverbindlichkeiten des
Ehemannes bei der S-Bank, Kreditnummer 11.22.333.444, 1-33.444.667
und 11.123.456 bislang mit ihrem Viertelanteil an der Liegenschaft
EZ … KG als Sicherheitengeberin gehaftet.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Diesbezüglich hat die S-Bank mit Schreiben vom 2. Mai 2022 ihre
Zustimmung erteilt, dass die Ehefrau aus der Haftung als
Sicherheitengeberin entlassen wird, wenn ihr Viertelanteil an der
genannten Liegenschaft im Zuge der einvernehmlichen Ehescheidung an
den Ehemann übergeben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Wenngleich die Ehefrau zu den genannten Kreditverbindlichkeiten
keine sonstige Haftung eingegangen ist und lediglich
Sicherheitengeberin ist, erklärt der Ehemann ausdrücklich, die
Ehefrau hinsichtlich einer allfälligen Inanspruchnahme durch die
S-Bank zur Gänze schad- und klaglos zu halten.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Übergabe und Übernahme des Liegenschaftsviertels in den
tatsächlichen Besitz und Genuss des Ehemanns erfolgt bei Übergabe
gemäß Punkt V.1.j dieser 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erklärt, das ihm ins Eigentum zukommende
vergleichsgegenständliche Objekt genau zu kennen und vor Übernahme
eingehend besichtigt zu haben. Die Ehefrau leistet weder für eine
bestimmte Beschaffenheit und Eignung noch für Sachmängel des
vergleichsgegenständlichen Objektes Gewähr, haftet aber dafür, dass
ihr Viertelanteil (B-LNR**) mit Ausnahme der im C-Blatt
intabulierten Belastungen satz- und lastenfrei und frei von
außerbücherlichen Lasten, insbesondere frei von Rechten Dritter in
das Eigentum des Ehemannes übergeht.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Erstattung der Gebührenanzeige und die Durchführung im
Grundbuch wird vom Ehemann Bertram Huber veranlasst werden. Die
Sozialversicherungsnummer des Ehemannes lautet: 1111 131272, die
Sozialversicherungsnummer der Ehefrau lautet: 2222 010579.</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mit der Errichtung und grundbücherlichen Durchführung dieses
Vergleichspunktes verbundenen Kosten und Gebühren, insbesondere
Grunderwerbssteuer und grundbücherliche Eintragungsgebühr, trägt
der Ehemann und hält dieser die Ehefrau für den Fall deren
Inanspruchnahme vollkommen schad- und klaglos.</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Vergleichsparteien erklären hiermit an Eides statt,
österreichische Staatsbürger und Deviseninländer zu sein.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Übertragung der gegenständlichen Liegenschaftsanteile
handelt sich um eine Eigentumsübertragung im Rahmen der Aufteilung
des ehelichen Gebrauchsvermögens und der ehelichen Ersparnisse nach
den Kriterien des § 83 EheG. Diese ist
einkommenssteuerrechtlich grundsätzlich als Naturalteilung zu
werten und unterliegt damit nicht der Immobilienertragsteuer.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Vergleichsparteien verpflichten sich, über Aufforderung
unverzüglich alle Erklärungen abzugeben, die noch erforderlich sein
sollten, damit das grundbücherliche Alleineigentum des Ehemannes an
der Liegenschaft … im Grundbuch einverleibt werden kann.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weiters, allenfalls notwendige
Erklärungen, die mit der Übertragung von allfälligen Verträgen der
genannten Liegenschaft (zB Haushaltsversicherung) im Zusammenhang
stehen, binnen einer Woche ab Aufforderung abzugeben.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auf der Liegenschaft EZ …, KG …, errichtete Einfamilienhaus
wurde als Zweitwohnsitz der Ehegatten genutzt.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bis spätestens 31. Dezember 2022
unter Mitnahme ihrer Fahrnisse sowie jenen Gegenständen, die aus
der Liste ./1, die einen integrierenden Bestandteil der
gegenständlichen Vereinbarung darstellt, auszuziehen und dem
Ehemann sämtliche Schlüssel für die genannte Liegenschaft
auszuhändigen.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bis zum tatsächlichen Auszug der
Ehefrau und den beiden gemeinsamen Töchtern mit keinerlei
Umbauarbeiten oder sonstigen Arbeiten an der Liegenschaft bzw dem
darauf errichteten Haus zu beginnen oder die Ehefrau und die beiden
Kinder sonst in einer Weise bei der Ausübung ihres bis 31.
Dezember 2022 befristeten Wohnrechtes beeinträchtigen. Ab dem der
Rechtskraft der Ehescheidung folgenden Tag bis zum Auszug der
Ehefrau wird der Ehemann nicht in diesem Haus wohnen.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ist aufgrund des Kaufvertrages vom 15. Juni 2015
außerbücherlicher Eigentümer der Liegenschaft EZ … KG …. Diese
Liegenschaft ist geldlastenfrei und hat nachfolgenden
Grundbuchsstand: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[Grundbuchsauszug einfügen!]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den Original-Kaufvertrag vom 15.
Juni 2015 samt Vergebührungsvermerk anlässlich der einvernehmlichen
Ehescheidung an die Vertreterin der Ehefrau, RA Dr. Berta Glück,
auszuhändigen und als außerbücherlicher Eigentümer unverzüglich
nach Rechtskraft gegenständlicher Vereinbarung den öffentlichen
Notar Dr. Bertl Gescheit, geb 1970-01-01, zu dessen Gunsten die
Rangordnung für die Veräußerung bis 2023-05-06, TZ 111/2022,
angemerkt ist, anzuweisen diese Anmerkung mit rangwahrender Wirkung
auf die Vertreterin der Ehefrau, RA Dr. Berta Glück gem § 57a
GBG zu übertragen (Anmerkung der Übertragung der Rangordnung) oder
ihn anzuweisen seine schriftliche Zustimmung zur Antragstellung
zwecks Eigentumsübertragung im bedungenen Rang zu erteilen, wobei
er als Antragsteller zu führen ist.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erteilt der Ehemann Bertram Huber, geb 13.12.1972, seine
ausdrückliche und unwiderrufliche Zustimmung, dass aufgrund dieses
Vergleiches ohne sein weiteres Wissen, und nicht auf seine Kosten,
ob der ihm außerbücherlich gehörigen Liegenschaft EZ … KG …,
Bezirksgericht … Grundstücksnr …/…, Bauf (Gebäude), Gärten
(Gärten), Grundstücksadresse …, …, die Einverleibung des
Eigentumsrechtes für die Ehefrau Alina Huber, geb 01.05.1979,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Übergabe und Übernahme der Liegenschaft in den tatsächlichen
Besitz und Genuss der Ehefrau erfolgen Zug um Zug gegen Übergabe
des Liegenschaftsviertels gemäß Punkt V.1.j dieser
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erklärt, das ihr ins Eigentum zukommende
vergleichsgegenständliche Objekt genau zu kennen und es vor
Übernahme eingehend besichtigt zu haben. Der Ehemann leistet weder
für eine bestimmte Beschaffenheit und Eignung noch für Sachmängel
des vergleichsgegenständlichen Objektes Gewähr, haftet aber dafür,
dass sein außerbücherliches Eigentum mit Ausnahme der von der
Ehefrau zu übernehmenden Dienstbarkeiten C-LNR …, C-LNR … und C-LNR
…, aber sonst satz- und lastenfrei und frei von außerbücherlichen
Lasten und Rechten Dritter, in das Eigentum der Ehefrau
übergeht.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erteilt der Ehemann Bertram Huber, geb 13.12.1972, seine
ausdrückliche und unwiderrufliche Zustimmung, dass aufgrund dieses
Vergleiches ohne sein weiteres Wissen, jedoch auf seine Kosten, ob
der ihm außerbücherlich gehörigen Liegenschaft EZ …,
Katastralgemeinde …, Bezirksgericht …, Grundstücksnr …/…, Bauf
(Gebäude), Gärten (Gärten), Grundstücksadresse …, die Einverleibung
des Eigentumsrechtes für die Ehefrau Alina Huber,
geb 01.05.1979,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Erstattung der Gebührenanzeige und die Durchführung im
Grundbuch wird von der Ehefrau Alina Huber veranlasst werden. Die
Sozialversicherungsnummer der Ehefrau lautet: 2222 010579, die
Sozialversicherungsnummer des Ehemannes lautet: 1111 131272.</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mit der Errichtung und grundbücherlichen Durchführung dieses
Vergleichspunktes verbundenen Kosten und Gebühren, insbesondere
Grunderwerbssteuer und grundbücherliche Eintragungsgebühr, trägt
der Ehemann und hält dieser die Ehefrau und deren Vertreterin für
den Fall deren Inanspruchnahme vollkommen schad- und klaglos.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bei sonstiger Exekution, binnen 1
Woche ab Rechtskraft der Ehescheidung die auf die Liegenschaft EZ …
GB …, Bezirksgericht … anfallende Grunderwerbssteuer und
Eintragungsgebühr in Höhe von insgesamt EUR … auf das
Treuhandkonto der Vertreterin der Ehefrau bei der S-Bank AG, IBAN
AT… … … … … mit dem Auftrag, diese Gebühren zu bezahlen, zu
überweisen.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verpflichtet sich weiters, sowohl die Ehefrau als auch deren
Vertreterin hinsichtlich der Grunderwerbssteuer und
Eintragungsgebühr im Falle einer allfälligen Nachforderung
vollkommen schad- und klaglos zu halten.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Vergleichsparteien erklären hiermit an Eides statt,
österreichische Staatsbürger und Deviseninländer zu sein.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Übertragung der gegenständlichen Liegenschaft handelt
sich um eine Eigentumsübertragung im Rahmen der Aufteilung des
ehelichen Gebrauchsvermögens und der ehelichen Ersparnisse nach den
Kriterien des § 83 EheG. Diese ist
einkommenssteuerrechtlich grundsätzlich als Naturalteilung zu
werten und unterliegt damit nicht der Immobilienertragsteuer.</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Bertram Huber, geb 13.12.1972, und Alina Huber, geb 01.05.1979,
verpflichten sich unwiderruflich und nicht einschränkbar binnen 1
Woche ab Aufforderung zur Abgabe aller Erklärungen einschließlich
Aufsandungserklärungen, die zur grundbücherlichen Durchführung
dieser Vereinbarung allenfalls noch erforderlich sein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Sonstiges eheliches Vermögen und eheliche Ersparnisse bestehen
nicht bzw verbleiben sie ausdrücklich demjenigen, auf dessen Namen
sie lauten oder in dessen Besitz sie sich befinden und wird dies
von den Ehegatten wechselseitig anerkannt. Dies gilt neben den
jeweils abgeschlossenen Lebensversicherungen insbesondere auch für
die sonstigen Liegenschaften, die jeweils demjenigen Ehegatten
verbleiben, in dessen Eigentum sie stehen.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 Anstellung der Ehefrau/Krankenzusatzversicherung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vereinbaren, dass die Ehefrau auch nach der
einvernehmlichen Ehescheidung bis einschließlich Dezember 2025
weiterhin als Angestellte im Unternehmen XY-GmbH des Ehemannes
tätig ist und für ihre 20-Stunden-Beschäftigung ein monatliches
Gehalt in Höhe von EUR 900,– netto beziehen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nähere Ausgestaltung des Dienstverhältnisses und der
künftige Aufgabenbereich der Ehefrau wird in einem gesonderten
Dienstzettel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der Ehemann das Dienstverhältnis zu einem
Zeitpunkt vor Dezember 2025 kündigt oder das Dienstverhältnis aus
einem dem Ehegatten zuzuschreibenden Grund (Unternehmensverkauf
etc) endet, verpflichtet er sich, der Ehefrau bei sonstiger
Exekution eine Abschlagszahlung zu leisten, deren Höhe sich
dergestalt bemisst, dass die ab dem Zeitpunkt der Beendigung des
Dienstverhältnisses bis einschließlich Dezember 2025 verbleibende
Zeit mit einem monatlichen Betrag von EUR 1.500,– abgegolten
wird. Der Ordnung halber wird festgehalten, dass diese
Zahlungsverpflichtung im Falle einer Kündigung durch die Ehegattin
aufgehoben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Einer Kündigung des Ehemannes ist im Falle eines
Insolvenzverfahrens über das Vermögen des Ehemannes die Auflösung
des Angestellten-Dienstverhältnisses aus einem der Tatbestände des
§ 25 IO gleichzuhalten.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bis zum 18. Geburtstag von
Valerie Huber weiterhin monatlich die Prämie für die
Krankenzusatzversicherung der Ehefrau, abgeschlossen zu
Polizzennummer 000-1111-2222-3333 bei der S-Versicherung zu
bezahlen bzw die Versicherung aufrecht zu belassen und die Ehefrau
hinsichtlich der Prämienvorschreibung schad- und klaglos zu
halten.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 Pkw</w:t>
      </w:r>
    </w:p>
    <w:p>
      <w:pPr>
        <w:widowControl w:val="on"/>
        <w:pBdr/>
        <w:spacing w:before="140" w:after="240" w:line="288" w:lineRule="auto"/>
        <w:ind w:left="0" w:right="0"/>
        <w:jc w:val="left"/>
      </w:pPr>
      <w:r>
        <w:rPr>
          <w:rFonts w:ascii="Arial" w:hAnsi="Arial" w:eastAsia="Arial" w:cs="Arial"/>
          <w:color w:val="000000"/>
          <w:sz w:val="20"/>
          <w:szCs w:val="20"/>
        </w:rPr>
        <w:t xml:space="preserve">Die Ehegatten vereinbaren, dass jeder Ehegatte Eigentümer
desjenigen PKW bleibt, der auf seinen Namen angemeldet ist und wird
dieses Eigentum wechselseitig anerkannt.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VIII. 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Bertram Huber, geboren am 13. Dezember 1972,
verpflichtet sich, aus dem Titel der umfassenden Aufteilung des
ehelichen Gebrauchsvermögens und der ehelichen Ersparnisse sowie
aus dem Titel einer Unterhaltsabschlagszahlung an die Ehefrau Alina
Huber, geboren am 1. Mai 1979, eine einmalige Ausgleichszahlung in
Höhe von EUR 500.000,– (in Worten fünfhunderttausend Euro) zu
bezahlen.</w:t>
      </w:r>
    </w:p>
    <w:p>
      <w:pPr>
        <w:widowControl w:val="on"/>
        <w:pBdr/>
        <w:spacing w:before="140" w:after="240" w:line="288" w:lineRule="auto"/>
        <w:ind w:left="0" w:right="0"/>
        <w:jc w:val="left"/>
      </w:pPr>
      <w:r>
        <w:rPr>
          <w:rFonts w:ascii="Arial" w:hAnsi="Arial" w:eastAsia="Arial" w:cs="Arial"/>
          <w:color w:val="000000"/>
          <w:sz w:val="20"/>
          <w:szCs w:val="20"/>
        </w:rPr>
        <w:t xml:space="preserve">Der genannte Betrag erliegt zum Zeitpunkt der einvernehmlichen
Ehescheidung auf dem eigens dafür von der Vertreterin der Ehefrau,
RA Dr. Berta Glück, 1010 Wien, Kärntner Straße 7, eingerichteten
Treuhandkonto (eATHB) IBAN AT11 2222 3333 4444 5555 mit dem
unwiderruflichen Auftrag, diesen binnen einer Woche ab Rechtskraft
der einvernehmlichen Ehescheidung auf das Konto der Ehefrau bei der
S-Bank AG, IBAN AT22 3333 4444 5555 6666, zu überweisen.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IX. Kosten</w:t>
      </w:r>
    </w:p>
    <w:p>
      <w:pPr>
        <w:widowControl w:val="on"/>
        <w:pBdr/>
        <w:spacing w:before="140" w:after="240" w:line="288" w:lineRule="auto"/>
        <w:ind w:left="0" w:right="0"/>
        <w:jc w:val="left"/>
      </w:pPr>
      <w:r>
        <w:rPr>
          <w:rFonts w:ascii="Arial" w:hAnsi="Arial" w:eastAsia="Arial" w:cs="Arial"/>
          <w:color w:val="000000"/>
          <w:sz w:val="20"/>
          <w:szCs w:val="20"/>
        </w:rPr>
        <w:t xml:space="preserve">Die anlässlich der Ehescheidung entstehenden Gerichtsgebühren
werden vom Ehemann alleine getragen, der die Ehefrau diesbezüglich
vollkommen schad- und klaglos hält.</w:t>
      </w:r>
    </w:p>
    <w:p>
      <w:pPr>
        <w:widowControl w:val="on"/>
        <w:pBdr/>
        <w:spacing w:before="140" w:after="240" w:line="288" w:lineRule="auto"/>
        <w:ind w:left="0" w:right="0"/>
        <w:jc w:val="left"/>
      </w:pPr>
      <w:r>
        <w:rPr>
          <w:rFonts w:ascii="Arial" w:hAnsi="Arial" w:eastAsia="Arial" w:cs="Arial"/>
          <w:color w:val="000000"/>
          <w:sz w:val="20"/>
          <w:szCs w:val="20"/>
        </w:rPr>
        <w:t xml:space="preserve">Jeder Ehegatte hat die Kosten seiner rechtsfreundlichen
Vertretung selbst zu tragen.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 Generalklausel</w:t>
      </w:r>
    </w:p>
    <w:p>
      <w:pPr>
        <w:widowControl w:val="on"/>
        <w:pBdr/>
        <w:spacing w:before="140" w:after="240" w:line="288" w:lineRule="auto"/>
        <w:ind w:left="0" w:right="0"/>
        <w:jc w:val="left"/>
      </w:pPr>
      <w:r>
        <w:rPr>
          <w:rFonts w:ascii="Arial" w:hAnsi="Arial" w:eastAsia="Arial" w:cs="Arial"/>
          <w:color w:val="000000"/>
          <w:sz w:val="20"/>
          <w:szCs w:val="20"/>
        </w:rPr>
        <w:t xml:space="preserve">Die Ehegatten erklären unwiderruflich, auf weitere Ansprüche
gegeneinander hinsichtlich des ehelichen Gebrauchsvermögens und der
ehelichen Ersparnisse (§§ 81 ff EheG) sowie hinsichtlich der
Abgeltung der Mitwirkung eines Ehegatten im Erwerb des anderen
(§ 98 ABGB), sofern solche bestehen, zu verzichten.</w:t>
      </w:r>
    </w:p>
    <w:p>
      <w:pPr>
        <w:widowControl w:val="on"/>
        <w:pBdr/>
        <w:spacing w:before="140" w:after="240" w:line="288" w:lineRule="auto"/>
        <w:ind w:left="0" w:right="0"/>
        <w:jc w:val="left"/>
      </w:pPr>
      <w:r>
        <w:rPr>
          <w:rFonts w:ascii="Arial" w:hAnsi="Arial" w:eastAsia="Arial" w:cs="Arial"/>
          <w:color w:val="000000"/>
          <w:sz w:val="20"/>
          <w:szCs w:val="20"/>
        </w:rPr>
        <w:t xml:space="preserve">Mit diesem Vergleich sind daher sämtliche wechselseitigen
Ansprüche der Ehegatten endgültig bereinigt und verglichen.</w:t>
      </w:r>
    </w:p>
    <w:p>
      <w:pPr>
        <w:widowControl w:val="on"/>
        <w:pBdr/>
        <w:spacing w:before="140" w:after="240" w:line="288" w:lineRule="auto"/>
        <w:ind w:left="0" w:right="0"/>
        <w:jc w:val="left"/>
      </w:pPr>
      <w:r>
        <w:rPr>
          <w:rFonts w:ascii="Arial" w:hAnsi="Arial" w:eastAsia="Arial" w:cs="Arial"/>
          <w:color w:val="000000"/>
          <w:sz w:val="20"/>
          <w:szCs w:val="20"/>
        </w:rPr>
        <w:t xml:space="preserve">Insbesondere gelten durch Abschluss des gegenständlichen
Vergleiches beide jeweils bei Notar Dr. Karl Breitschopf zu GZ … am
2. Juni November 2014 und zu GZ … am 5. Februar 2018 zwischen den
Ehegatten geschlossenen Ehepakte als aufgehoben bzw erfüllt.</w:t>
      </w:r>
    </w:p>
    <w:p>
      <w:pPr>
        <w:widowControl w:val="on"/>
        <w:pBdr/>
        <w:spacing w:before="140" w:after="240" w:line="288" w:lineRule="auto"/>
        <w:ind w:left="0" w:right="0"/>
        <w:jc w:val="left"/>
      </w:pPr>
      <w:r>
        <w:rPr>
          <w:rFonts w:ascii="Arial" w:hAnsi="Arial" w:eastAsia="Arial" w:cs="Arial"/>
          <w:color w:val="000000"/>
          <w:sz w:val="20"/>
          <w:szCs w:val="20"/>
        </w:rPr>
        <w:t xml:space="preserve">Wien, am 12. Oktober 2022</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Alina Huber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Bertram Huber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88102">
    <w:multiLevelType w:val="hybridMultilevel"/>
    <w:lvl w:ilvl="0" w:tplc="80619514">
      <w:start w:val="1"/>
      <w:numFmt w:val="decimal"/>
      <w:lvlText w:val="%1."/>
      <w:lvlJc w:val="left"/>
      <w:pPr>
        <w:ind w:left="720" w:hanging="360"/>
      </w:pPr>
    </w:lvl>
    <w:lvl w:ilvl="1" w:tplc="80619514" w:tentative="1">
      <w:start w:val="1"/>
      <w:numFmt w:val="lowerLetter"/>
      <w:lvlText w:val="%2."/>
      <w:lvlJc w:val="left"/>
      <w:pPr>
        <w:ind w:left="1440" w:hanging="360"/>
      </w:pPr>
    </w:lvl>
    <w:lvl w:ilvl="2" w:tplc="80619514" w:tentative="1">
      <w:start w:val="1"/>
      <w:numFmt w:val="lowerRoman"/>
      <w:lvlText w:val="%3."/>
      <w:lvlJc w:val="right"/>
      <w:pPr>
        <w:ind w:left="2160" w:hanging="180"/>
      </w:pPr>
    </w:lvl>
    <w:lvl w:ilvl="3" w:tplc="80619514" w:tentative="1">
      <w:start w:val="1"/>
      <w:numFmt w:val="decimal"/>
      <w:lvlText w:val="%4."/>
      <w:lvlJc w:val="left"/>
      <w:pPr>
        <w:ind w:left="2880" w:hanging="360"/>
      </w:pPr>
    </w:lvl>
    <w:lvl w:ilvl="4" w:tplc="80619514" w:tentative="1">
      <w:start w:val="1"/>
      <w:numFmt w:val="lowerLetter"/>
      <w:lvlText w:val="%5."/>
      <w:lvlJc w:val="left"/>
      <w:pPr>
        <w:ind w:left="3600" w:hanging="360"/>
      </w:pPr>
    </w:lvl>
    <w:lvl w:ilvl="5" w:tplc="80619514" w:tentative="1">
      <w:start w:val="1"/>
      <w:numFmt w:val="lowerRoman"/>
      <w:lvlText w:val="%6."/>
      <w:lvlJc w:val="right"/>
      <w:pPr>
        <w:ind w:left="4320" w:hanging="180"/>
      </w:pPr>
    </w:lvl>
    <w:lvl w:ilvl="6" w:tplc="80619514" w:tentative="1">
      <w:start w:val="1"/>
      <w:numFmt w:val="decimal"/>
      <w:lvlText w:val="%7."/>
      <w:lvlJc w:val="left"/>
      <w:pPr>
        <w:ind w:left="5040" w:hanging="360"/>
      </w:pPr>
    </w:lvl>
    <w:lvl w:ilvl="7" w:tplc="80619514" w:tentative="1">
      <w:start w:val="1"/>
      <w:numFmt w:val="lowerLetter"/>
      <w:lvlText w:val="%8."/>
      <w:lvlJc w:val="left"/>
      <w:pPr>
        <w:ind w:left="5760" w:hanging="360"/>
      </w:pPr>
    </w:lvl>
    <w:lvl w:ilvl="8" w:tplc="80619514" w:tentative="1">
      <w:start w:val="1"/>
      <w:numFmt w:val="lowerRoman"/>
      <w:lvlText w:val="%9."/>
      <w:lvlJc w:val="right"/>
      <w:pPr>
        <w:ind w:left="6480" w:hanging="180"/>
      </w:pPr>
    </w:lvl>
  </w:abstractNum>
  <w:abstractNum w:abstractNumId="40688101">
    <w:multiLevelType w:val="hybridMultilevel"/>
    <w:lvl w:ilvl="0" w:tplc="51225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88101">
    <w:abstractNumId w:val="40688101"/>
  </w:num>
  <w:num w:numId="40688102">
    <w:abstractNumId w:val="40688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32420132" Type="http://schemas.openxmlformats.org/officeDocument/2006/relationships/numbering" Target="numbering.xml"/><Relationship Id="rId73425667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