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6664334" w:name="document"/>
    <w:bookmarkEnd w:id="56664334"/>
    <w:p/>
    <w:p>
      <w:pPr>
        <w:widowControl w:val="on"/>
        <w:pBdr/>
        <w:spacing w:before="0" w:after="280" w:line="240" w:lineRule="auto"/>
        <w:ind w:left="0" w:right="0"/>
        <w:jc w:val="left"/>
      </w:pPr>
      <w:r>
        <w:rPr>
          <w:rFonts w:ascii="Arial" w:hAnsi="Arial" w:eastAsia="Arial" w:cs="Arial"/>
          <w:color w:val="363A40"/>
          <w:sz w:val="24"/>
          <w:szCs w:val="24"/>
        </w:rPr>
        <w:t xml:space="preserve">Dokument-ID: 1128616 | Brigitta Hülle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Zwischenantrag auf Feststellung (Notwendiger Unterhalt)</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gegenständliche Schriftsatzmuster hat einen im Rahmen eines
vorbereitenden Schriftsatzes in einem Ehegattenunterhaltsverfahren
gestellten Antrag auf Zwischenfeststellung zum Gegenstand. In den
ausführlichen Anmerkungen werden die grundlegenden rechtlichen
Aspekte zu Zwischenfeststellungsanträgen nach §§ 236, 259 ZPO
erläutert und wird auch kurz auf die Rechtslage in Zusammenhang mit
ehelichem Unterhalt entsprechend § 94 ABGB eingegangen.</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Rechtsanwältin Mag. Brigitta
Hülle</w:t>
      </w:r>
      <w:r>
        <w:rPr>
          <w:rFonts w:ascii="Arial" w:hAnsi="Arial" w:eastAsia="Arial" w:cs="Arial"/>
          <w:color w:val="000000"/>
          <w:sz w:val="20"/>
          <w:szCs w:val="20"/>
        </w:rPr>
        <w:br/>
        <w:t xml:space="preserve">Gumpendorfer 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 2 C 123/22x</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19.12.2022</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265"/>
        <w:gridCol w:w="7440"/>
      </w:tblGrid>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Sandra Schmid, geb 28.02.1976</w:t>
            </w:r>
            <w:r>
              <w:rPr>
                <w:rFonts w:ascii="Arial" w:hAnsi="Arial" w:eastAsia="Arial" w:cs="Arial"/>
                <w:color w:val="000000"/>
                <w:position w:val="0"/>
                <w:sz w:val="20"/>
                <w:szCs w:val="20"/>
                <w:shd w:val="clear" w:color="auto" w:fill="FFFFFF"/>
              </w:rPr>
              <w:br/>
              <w:t xml:space="preserve">Grubengasse 5/2, 1060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Sarah Klaus</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Elchtalweg 31/4</w:t>
            </w:r>
            <w:r>
              <w:rPr>
                <w:rFonts w:ascii="Arial" w:hAnsi="Arial" w:eastAsia="Arial" w:cs="Arial"/>
                <w:color w:val="000000"/>
                <w:position w:val="0"/>
                <w:sz w:val="20"/>
                <w:szCs w:val="20"/>
                <w:shd w:val="clear" w:color="auto" w:fill="FFFFFF"/>
              </w:rPr>
              <w:br/>
              <w:t xml:space="preserve">1140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Norbert Schmid, geb 07.11.1975</w:t>
            </w:r>
            <w:r>
              <w:rPr>
                <w:rFonts w:ascii="Arial" w:hAnsi="Arial" w:eastAsia="Arial" w:cs="Arial"/>
                <w:color w:val="000000"/>
                <w:position w:val="0"/>
                <w:sz w:val="20"/>
                <w:szCs w:val="20"/>
                <w:shd w:val="clear" w:color="auto" w:fill="FFFFFF"/>
              </w:rPr>
              <w:br/>
              <w:t xml:space="preserve">Lorenzgasse 1/1, 1050 Wien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Brigitta Hülle</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Gumpendorferstraße 83/4</w:t>
            </w:r>
            <w:r>
              <w:rPr>
                <w:rFonts w:ascii="Arial" w:hAnsi="Arial" w:eastAsia="Arial" w:cs="Arial"/>
                <w:color w:val="000000"/>
                <w:position w:val="0"/>
                <w:sz w:val="20"/>
                <w:szCs w:val="20"/>
                <w:shd w:val="clear" w:color="auto" w:fill="FFFFFF"/>
              </w:rPr>
              <w:br/>
              <w:t xml:space="preserve">1040 Wien</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w:t>
            </w:r>
            <w:r>
              <w:rPr>
                <w:rFonts w:ascii="Arial" w:hAnsi="Arial" w:eastAsia="Arial" w:cs="Arial"/>
                <w:color w:val="000000"/>
                <w:position w:val="0"/>
                <w:sz w:val="20"/>
                <w:szCs w:val="20"/>
                <w:shd w:val="clear" w:color="auto" w:fill="FFFFFF"/>
              </w:rPr>
              <w:br/>
              <w:t xml:space="preserve">die Bezahlung sämtl. Kosten zu seinen Handen</w:t>
            </w:r>
          </w:p>
        </w:tc>
      </w:tr>
      <w:tr>
        <w:trPr>
          <w:trHeight w:val="0" w:hRule="atLeast"/>
        </w:trPr>
        <w:tc>
          <w:tcPr>
            <w:tcW w:w="22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Unterhalt (BMG EUR 6.000,– siehe 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Vollmachtsbekanntgabe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Vorbereitender Schriftsatz</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Antrag auf
Zwischenfeststellung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 Beilagen</w:t>
      </w:r>
    </w:p>
    <w:p>
      <w:pPr>
        <w:widowControl w:val="on"/>
        <w:pBdr/>
        <w:spacing w:before="140" w:after="240" w:line="288" w:lineRule="auto"/>
        <w:ind w:left="0" w:right="0"/>
        <w:jc w:val="center"/>
      </w:pPr>
      <w:r>
        <w:rPr>
          <w:rFonts w:ascii="Arial" w:hAnsi="Arial" w:eastAsia="Arial" w:cs="Arial"/>
          <w:color w:val="000000"/>
          <w:sz w:val="20"/>
          <w:szCs w:val="20"/>
        </w:rPr>
        <w:t xml:space="preserve">Gleichschrift dem Gegenvertreter gem
§ 112 ZPO direkt zugestellt</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Brigitte Hülle, Rechtsanwältin in 1060 Wien,
Gumpendorfer Straße 83/4, mit meiner rechtsfreundlichen Vertretung
beauftragt habe und ersuche um Kenntnisnahme sowie Zustellung
sämtlicher gerichtlicher Schriftstücke zuhanden meiner
ausgewiesenen Vertreterin.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Unter einem erstatte ich zur vorliegenden Unterhaltsklage der
Klägerin zunächst nachstehenden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vorbereitenden Schriftsatz: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Vorbringen der Klägerin wird zur Gänze bestritten, soferne
es mit meinem eigenen folgenden Vorbringen in Widerspruch steht bzw
im Folgenden nicht ausdrücklich außer Streit gestellt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zunächst, dass die Klägerin und ich seit 19.01.2011
in nach wie vor aufrechter Ehe miteinander verheiratet sind,
zwischen uns ist jedoch zur hg GZ 2 C 3/22k ein
Ehescheidungsverfahren anhängig.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Unserer Ehe entstammen keine gemeinsamen Kinder, ich habe
allerdings die beiden Kinder der Klägerin aus erster Ehe, nämlich
die (mittlerweile) vj Luisa Schmid, geb 16.03.1997, und den vj
Roland Schmid, geb 22.05.2000, adoptiert. Beide Kinder sind
mittlerweile selbsterhaltungsfähig.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Klägerin begehrt nun mit ihrer bezughabenden Klage, mich
beginnend mit Dezember 2022 ihr gegenüber zur Leistung eines
monatlichen Ehegattenunterhaltes in Höhe von EUR 1.500,– zu
verpflichten. Sie bringt dazu im Wesentlichen vor, dass wir am
17.01.2011 einen Ehepakt geschlossen hätten, der die Berechnung der
wechselseitigen Unterhaltsansprüche der Parteien während aufrechter
häuslicher Gemeinschaft grundsätzlich nach § 94 ABGB unter
Berücksichtigung der jeweiligen Sorgepflichten vorsehe. Als
Angestellter in einem international tätigen Unternehmen würde ich
ein monatliches Nettoeinkommen von durchschnittlich rund
EUR 4.550,– unter Berücksichtigung der anteiligen
Sonderzahlungen ins Verdienen führen. Sie selbst habe ihre
jahrelang ausgeübte Tätigkeit als Physiotherapeutin im Februar 2014
aufgegeben, um sich der Pflege ihrer schwer kranken Tante zu
widmen. Im November 2014 habe sie zusätzlich mit einer
landwirtschaftlichen Tätigkeit begonnen, von der sie sich ein
tragfähiges Einkommen innerhalb von fünf Jahren erhofft habe,
welches sich allerdings bislang nicht eingestellt habe, sodass sie
auch kein Einkommen beziehe.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Unstrittig sei, dass wir in dem bereits erwähnten Ehepakt für
den Fall der Auflösung ihrer häuslichen Gemeinschaft auf jeglichen
über den notwendigen Unterhalt hinausgehenden Unterhalt verzichtet
hätten. Allerdings sei die Umstandsklausel dabei nicht
ausgeschlossen worden. Die Umstände hätten sich seit Abschluss des
Ehepaktes nun aber wesentlich geändert: Zum Zeitpunkt des
Notariatsaktes habe sie in Vollzeit gearbeitet und ein angemessenes
eigenes Einkommen bezogen, das zumindest gleich hoch oder sogar
höher als meines gewesen sei. Sie sei damals auf keinerlei
Unterhaltszahlungen angewiesen gewesen. Nunmehr sei sie jedoch
einkommenslos. Aufgrund der daraus resultierenden Gefährdung ihrer
Existenz könne ich mich nicht mehr auf den vereinbarten
Unterhaltsverzicht berufen, dies sei ihrer Ansicht nach
sittenwidrig. Gem § 94 Abs 3 2. Satz ABGB könne auf den
Unterhaltsanspruch im Vorhinein nicht verzichtet werden. Während
aufrechter Ehe sei ein solcher Verzicht nur zulässig, wenn der
Ehegatte tatsächlich imstande sei, den Unterhalt aus eigenem
Einkommen oder Vermögen zu bestreiten, was hier aus meinem
vermeintlichen Verschulden nicht der Fall sei. Die Deckelung des
Unterhalts auf den „notwendigen“ Unterhalt sei daher grob unbillig
und sittenwidrig.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Tatsächlich steht der Klägerin der von ihr geltend gemachte
Unterhalt in Höhe von EUR 1.500,– nicht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zunächst mein von der Klägerin angegebenes
durchschnittliches Nettoeinkommen.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Richtig ist weiters, dass ich mit 30.11.2022 aus der bis dahin
gemeinsam genutzten Ehewohung ausgezogen bin und ist mit dieser
damit erfolgten häuslichen Trennung daher davon auszugehen, dass
angesichts des zwischen uns geschlossenen Ehevertrages der Klägerin
kein über den notwendigen Unterhalt hinausgehender Unterhalt mir
gegenüber mehr zusteht, sondern sie zulässig und rechtskonform
darauf verzichtet hat.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Punkt V.c) des zwischen der Klägerin und mir geschlossenen,
von ihr bereits vorgelegten Ehepaktes </w:t>
            </w:r>
            <w:r>
              <w:rPr>
                <w:rFonts w:ascii="Arial" w:hAnsi="Arial" w:eastAsia="Arial" w:cs="Arial"/>
                <w:b/>
                <w:bCs/>
                <w:color w:val="000000"/>
                <w:position w:val="0"/>
                <w:sz w:val="20"/>
                <w:szCs w:val="20"/>
                <w:shd w:val="clear" w:color="auto" w:fill="FFFFFF"/>
              </w:rPr>
              <w:t xml:space="preserve">(Beilage
./A)</w:t>
            </w:r>
            <w:r>
              <w:rPr>
                <w:rFonts w:ascii="Arial" w:hAnsi="Arial" w:eastAsia="Arial" w:cs="Arial"/>
                <w:color w:val="000000"/>
                <w:position w:val="0"/>
                <w:sz w:val="20"/>
                <w:szCs w:val="20"/>
                <w:shd w:val="clear" w:color="auto" w:fill="FFFFFF"/>
              </w:rPr>
              <w:t xml:space="preserve">, wurde ausdrücklich Folgendes vereinbart: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i/>
                      <w:iCs/>
                      <w:color w:val="000000"/>
                      <w:position w:val="0"/>
                      <w:sz w:val="20"/>
                      <w:szCs w:val="20"/>
                      <w:shd w:val="clear" w:color="auto" w:fill="FFFFFF"/>
                    </w:rPr>
                    <w:t xml:space="preserve">c)</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Für den Fall einer Auflösung ihrer häuslichen Gemeinschaft,
aus welchem Grund und wessen Verschulden auch immer, verzichten die
Vertragsparteien wechselseitig auf jeglichen über den notwendigen
Unterhalt hinausgehenden Unterhaltsanspruch.</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d)</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i/>
                      <w:iCs/>
                      <w:color w:val="000000"/>
                      <w:position w:val="0"/>
                      <w:sz w:val="20"/>
                      <w:szCs w:val="20"/>
                      <w:shd w:val="clear" w:color="auto" w:fill="FFFFFF"/>
                    </w:rPr>
                    <w:t xml:space="preserve">Auch für den Fall einer Ehescheidung, aus welchem Grund und
aus wessen Verschulden auch immer, verzichten die Vertragsparteien
wechselseitig auf jeglichen über den notwendigen Unterhalt
hinausgehenden Unterhaltsanspruch</w:t>
                  </w:r>
                  <w:r>
                    <w:rPr>
                      <w:rFonts w:ascii="Arial" w:hAnsi="Arial" w:eastAsia="Arial" w:cs="Arial"/>
                      <w:color w:val="000000"/>
                      <w:position w:val="0"/>
                      <w:sz w:val="20"/>
                      <w:szCs w:val="20"/>
                      <w:shd w:val="clear" w:color="auto" w:fill="FFFFFF"/>
                    </w:rPr>
                    <w:t xml:space="preserve">.“</w:t>
                  </w:r>
                </w:p>
              </w:tc>
            </w:tr>
          </w:tbl>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Hintergrund dieser Vereinbarung war einerseits, dass sowohl die
Vorehe der Klägerin als auch meine geschieden wurden, sodass wir
mögliche Streitigkeiten über finanzielle Fragen weitgehend
vermeiden und daher diesbezügliche Regelungen vorab treffen
wollten. Andererseits war der Klägerin damals auch bekannt, dass
ich mich in einem mehrere Jahre, über mehrere Rechtsgänge gehenden
strittigen Unterhaltsverfahren mit einer ersten Ehefrau befunden
habe, was mich ausgesprochen belastet hat. Im Rahmen des rechtlich
Zulässigen (vgl etwa </w:t>
            </w:r>
            <w:r>
              <w:rPr>
                <w:rFonts w:ascii="Arial" w:hAnsi="Arial" w:eastAsia="Arial" w:cs="Arial"/>
                <w:i/>
                <w:iCs/>
                <w:color w:val="000000"/>
                <w:position w:val="0"/>
                <w:sz w:val="20"/>
                <w:szCs w:val="20"/>
                <w:shd w:val="clear" w:color="auto" w:fill="FFFFFF"/>
              </w:rPr>
              <w:t xml:space="preserve">Gitschthaler</w:t>
            </w:r>
            <w:r>
              <w:rPr>
                <w:rFonts w:ascii="Arial" w:hAnsi="Arial" w:eastAsia="Arial" w:cs="Arial"/>
                <w:color w:val="000000"/>
                <w:position w:val="0"/>
                <w:sz w:val="20"/>
                <w:szCs w:val="20"/>
                <w:shd w:val="clear" w:color="auto" w:fill="FFFFFF"/>
              </w:rPr>
              <w:t xml:space="preserve">, Unterhaltsrecht, 2015,
Rz 1332) sollte demnach ab einer allfälligen Haushaltstrennung
im Wesentlichen von einem Unterhaltsverzicht ausgegangen werden,
was dann möglich ist, wenn die unterhaltsberechtigte Person nicht
erwerbsunfähig ist oder es ihr sonst nicht am notwendigen Unterhalt
mangelt.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Sittenwidrig ist die von uns getroffene Unterhaltsvereinbarung
daher jedenfalls nicht, sondern bewegt sich klar in den Grenzen des
nach Rechtslage und Rsp Zulässigen.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Regelungszweck von § 94 Abs 3 ABGB kann nur darin
liegen, den gänzlichen Ausschluss der ehelichen Beistandspflicht
durch vertragliche Regelungen zu verhindern. Daher kann eben ein
Ehegatte so weit auf Unterhalt wirksam verzichten, als sein
notwendiger Unterhalt aus eigenem Einkommen gedeckt ist. In diesem
Umfang seht § 94 Abs 3 ABGB der Wirksamkeit des Verzichts
jedenfalls nicht entgegen (4 Ob 84/13a). Verfügt die
unterhaltsberechtigte Person über ein monatliches Einkommen
annähernd in Höhe des Ausgleichszulagenrichtsatzes, ist ein
Unterhaltsverzicht jedenfalls als zulässig zu erachten, weil der
notwendige Unterhalt damit gedeckt ist (4 Ob 84/13a).</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Schon auf dieser Grundlage geht das gegenständliche
Unterhaltsbegehren der Klägerin mir gegenüber daher fehl.</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der Auflösung der häuslichen Gemeinschaft, aus
welchem Grund und wessen Verschulden auch immer, haben wir aber
wechselseitig auf jeglichen über den notwendigen Unterhalt
hinausgehenden Unterhalt verzichtet (Punkt V.c.).</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IdS beläuft sich der notwendige Unterhalt in etwa auf die Höhe
des Ausgleichszulagenrichtsatzes (vgl 4 Ob 84/13a). Aktuell beträgt
dieser im Jahr 2022 monatlich EUR 1.030,49.</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Zwischen der Klägerin und mir ist es unstrittig mittlerweile zu
einer faktischen Aufhebung der häuslichen Gemeinschaft gekommen,
sodass ihr von vornherein kein diesen Betrag übersteigender
Unterhaltsanspruch zukommen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Klägerin vermeint nun weiters, die gegenständlich relevanten
Bestimmungen des zwischen uns geschlossenen Ehepaktes wären
unzulässig bzw sittenwidrig und hätten sich zudem die Umstände seit
Abschluss des Ehepaktes geändert. Dies ist allerdings einerseits
nicht zutreffend und wäre selbst im Fall einer Umstandsänderung im
Ergebnis für die Klägerin nichts gewonnen: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einen bewegt sich der zwischen uns geschlossene Ehepakt ganz
klar in den Grenzen des rechtlich Zulässigen.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Zum anderen haben sich die Verhältnisse entgegen der Darstellung
der Klägerin tatsächlich auch überhaupt nicht derart gravierend
geändert, dass überhaupt von einer entscheidenden Umstandsänderung
auszugehen wäre: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Tatsache ist, dass die Klägerin keineswegs arbeits- und damit
erwerbsunfähig wäre, sondern sie sehr wohl nach wie vor ihre
landwirtschaftliche Tätigkeit betreibt und damit zumindest ein
Einkommen in Höhe des Ausgleichszulagenrichtsatzes aus eigener
beruflicher Tätigkeit ins Verdienen führt (andernfalls ihre
Landwirtschaft von den Finanzbehörden letztlich als „Liebhaberei“
eingestuft würde) bzw dies bei zumutbarer Anstrengung aller Kräfte
könnte.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habe ich auch zu Beginn unserer Ehe bzw zum Zeitpunkt
des Abschlusses des in Rede stehenden Ehepaktes weit besser
verdient als die Klägerin, sohin haben sich auch diesbezüglich die
Verhältnisse nicht wesentlich zulasten der Klägerin verschlechtert.
Jedenfalls kann ich in diesem Zusammenhang definitiv ausschließen,
dass die Klägerin jemals auch nur annähernd gleich gut wie ich oder
gar besser verdient hätte.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einer wesentlichen Änderung der relevanten Umstände kann ivF
daher überhaupt nicht die Rede sein.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 dann, wenn dies aber nicht der Fall wäre, führt eine
Umstandsänderung noch nicht zu einer völligen Unbeachtlichkeit der
getroffenen Vereinbarung (und damit zu einem vollen
Unterhaltsanspruch nach § 94 ABGB, wie die Klägerin offenbar
vermeint): Die Wirkung der Umstandsklausel nach entsprechender
Umstandsänderung hängt nämlich primär von der in der
Unterhaltsvereinbarung enthaltenen Parteiabsicht ab. Es ist daher
unter Berücksichtigung der Gesamtvereinbarung und des von den
Parteien verfolgten Zwecks im Weg der ergänzenden Vertragsauslegung
zu fragen, welche Lösung redliche und vernünftige Parteien für die
geänderte Lage vereinbart hätten (</w:t>
            </w:r>
            <w:r>
              <w:rPr>
                <w:rFonts w:ascii="Arial" w:hAnsi="Arial" w:eastAsia="Arial" w:cs="Arial"/>
                <w:i/>
                <w:iCs/>
                <w:color w:val="000000"/>
                <w:position w:val="0"/>
                <w:sz w:val="20"/>
                <w:szCs w:val="20"/>
                <w:shd w:val="clear" w:color="auto" w:fill="FFFFFF"/>
              </w:rPr>
              <w:t xml:space="preserve">Schwimann/Kolmasch</w:t>
            </w:r>
            <w:r>
              <w:rPr>
                <w:rFonts w:ascii="Arial" w:hAnsi="Arial" w:eastAsia="Arial" w:cs="Arial"/>
                <w:color w:val="000000"/>
                <w:position w:val="0"/>
                <w:sz w:val="20"/>
                <w:szCs w:val="20"/>
                <w:shd w:val="clear" w:color="auto" w:fill="FFFFFF"/>
              </w:rPr>
              <w:t xml:space="preserve">,
Unterhaltrecht, 2019, 269; EFSlg 47.512; EFSlg 32.844; EFSlg
99.194; EFSlg 95.302).</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Absicht des gesamten Ehepaktes war aber gerade – wie bereits
vorgebracht – die finanziellen Bindungen unserer Ehe, und damit
auch die unterhaltsrechtlichen, möglichst gering zu halten, dies,
entsprechend der wortwörtlichen Formulierung im Ehepakt, etwa auch
für den Fall, dass unsere häusliche Gemeinschaft aus meinem
alleinigen Verschulden aufgehoben werden sollte.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 wenn man daher von einer wesentlichen Umstandsänderung
ausginge, führt eine ergänzende Auslegung der getroffenen
Vereinbarung eben gerade nicht zur völligen Ungültigkeit der
zwischen uns getroffenen Unterhaltsregelungen bzw zu einem vollen
Unterhaltsanspruch der Klägerin mir gegenüber entsprechend
§ 94 ABGB.</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Dementsprechend ist davon auszugehen, dass das gegenständliche
Unterhaltsbegehren der Klägerin daher verfehlt ist.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Buchsachverständigengutachten hinsichtlich der selbstständigen
Einkommensverhältnisse der Klägerin, dessen Einholung ich
beantrage;</w:t>
            </w:r>
            <w:r>
              <w:rPr>
                <w:rFonts w:ascii="Arial" w:hAnsi="Arial" w:eastAsia="Arial" w:cs="Arial"/>
                <w:color w:val="000000"/>
                <w:position w:val="0"/>
                <w:sz w:val="20"/>
                <w:szCs w:val="20"/>
                <w:shd w:val="clear" w:color="auto" w:fill="FFFFFF"/>
              </w:rPr>
              <w:br/>
              <w:t xml:space="preserve">berufskundliches Sachverständigengutachten hinsichtlich der
Klägerin, dessen Einholung ich unter einem gleichfalls
beantrage;</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stelle ich sohin meinerseits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vorliegende Klage zur Gänze abzuweisen und die Klägerin mir
gegenüber in den Ersatz der Kosten dieses Verfahrens zuhanden
meiner ausgewiesenen Vertreterin (§ 19a RAO) zu verfällen.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Gem §§ 259 Abs 2 iVm 236 Abs 1 ZPO kann der
Beklagte bis zum Schluss der mündlichen Verhandlung den Antrag
stellen, dass ein im Laufe des Prozesses streitig gewordenes
Rechtsverhältnis oder Recht, von dessen Bestehen oder Nichtbestehen
die Entscheidung des Klagebegehrens ganz oder zum Teil abhängt, in
dem über die Klage ergehenden oder in einem demselben
vorausgehenden Urteil festgestellt werde. Das streitige Recht ist
ivF der Unterhaltsanspruch der Klägerin mir gegenüber nach
Auflösung der häuslichen Gemeinschaft während aufrechter Ehe,
sofern dieser über den notwendigen Unterhalt hinausgeht.</w:t>
      </w:r>
    </w:p>
    <w:p>
      <w:pPr>
        <w:widowControl w:val="on"/>
        <w:pBdr/>
        <w:spacing w:before="140" w:after="240" w:line="288" w:lineRule="auto"/>
        <w:ind w:left="0" w:right="0"/>
        <w:jc w:val="left"/>
      </w:pPr>
      <w:r>
        <w:rPr>
          <w:rFonts w:ascii="Arial" w:hAnsi="Arial" w:eastAsia="Arial" w:cs="Arial"/>
          <w:color w:val="000000"/>
          <w:sz w:val="20"/>
          <w:szCs w:val="20"/>
        </w:rPr>
        <w:t xml:space="preserve">Ein solcher Zwischenfeststellungsantrag ist zulässig, wenn das
strittige Recht oder Rechtsverhältnis für die Entscheidung über das
Klagebegehren präjudiziell ist, die Wirkung der Feststellung über
den Rechtsstreit hinausreicht und ein rechtliches Interesse iSd
§ 228 ZPO gegeben ist. Die Präjudizialität des Anspruchs,
dessen Nichtbestehen Gegenstand des vorliegenden
Zwischenfeststellungsantrags ist, liegt vor, weil die Klägerin den
vollen Ehegattenunterhalt gem § 94 ABGB begehrt und die
Entscheidung über dieses Klagebegehren von der Frage abhängt, ob
ihr aufgrund der getroffenen Vereinbarung ein über den notwendigen
Unterhalt hinausgehender Unterhaltsanspruch zukommt.</w:t>
      </w:r>
    </w:p>
    <w:p>
      <w:pPr>
        <w:widowControl w:val="on"/>
        <w:pBdr/>
        <w:spacing w:before="140" w:after="240" w:line="288" w:lineRule="auto"/>
        <w:ind w:left="0" w:right="0"/>
        <w:jc w:val="left"/>
      </w:pPr>
      <w:r>
        <w:rPr>
          <w:rFonts w:ascii="Arial" w:hAnsi="Arial" w:eastAsia="Arial" w:cs="Arial"/>
          <w:color w:val="000000"/>
          <w:sz w:val="20"/>
          <w:szCs w:val="20"/>
        </w:rPr>
        <w:t xml:space="preserve">Mein rechtliches Interesse ergibt sich daraus, dass ich mit der
Klägerin (noch) verheiratet bin und ihr daher grundsätzlich zum
Unterhalt verpflichtet wäre, sodass die begehrte Feststellung sich
unmittelbar auf meine Rechtsposition auswirkt. Darüber hinaus
erfüllt die begehrte Feststellung auch einen prozessökonomischen
Zweck (vgl 2 Ob 198/01h, MietSlg 53.713), weil dadurch
gegebenenfalls umfangreiche Beweisaufnahmen zur Unterhaltsbemessung
unterbleiben können, die sich im Fall einer Beschränkung auf den
notwendigen Unterhalt als unnötig erweisen würden.</w:t>
      </w:r>
    </w:p>
    <w:p>
      <w:pPr>
        <w:widowControl w:val="on"/>
        <w:pBdr/>
        <w:spacing w:before="140" w:after="240" w:line="288" w:lineRule="auto"/>
        <w:ind w:left="0" w:right="0"/>
        <w:jc w:val="left"/>
      </w:pPr>
      <w:r>
        <w:rPr>
          <w:rFonts w:ascii="Arial" w:hAnsi="Arial" w:eastAsia="Arial" w:cs="Arial"/>
          <w:color w:val="000000"/>
          <w:sz w:val="20"/>
          <w:szCs w:val="20"/>
        </w:rPr>
        <w:t xml:space="preserve">Gem §§ 259 Abs 2 iVm 236 Abs 1 ZPO stelle ich
somit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Zwischenantrag auf
Feststellung,</w:t>
      </w:r>
    </w:p>
    <w:p>
      <w:pPr>
        <w:widowControl w:val="on"/>
        <w:pBdr/>
        <w:spacing w:before="140" w:after="240" w:line="288" w:lineRule="auto"/>
        <w:ind w:left="0" w:right="0"/>
        <w:jc w:val="left"/>
      </w:pPr>
      <w:r>
        <w:rPr>
          <w:rFonts w:ascii="Arial" w:hAnsi="Arial" w:eastAsia="Arial" w:cs="Arial"/>
          <w:color w:val="000000"/>
          <w:sz w:val="20"/>
          <w:szCs w:val="20"/>
        </w:rPr>
        <w:t xml:space="preserve">dass der Klägerin aufgrund des Ehepaktes vom 17.01.2011 mir
gegenüber seit Aufhebung der häuslichen Gemeinschaft kein Anspruch
bzw Recht auf einen den notwendigen Unterhalt übersteigenden
Unterhalt zukommt.</w:t>
      </w:r>
    </w:p>
    <w:p>
      <w:pPr>
        <w:widowControl w:val="on"/>
        <w:pBdr/>
        <w:spacing w:before="140" w:after="240" w:line="288" w:lineRule="auto"/>
        <w:ind w:left="0" w:right="0"/>
        <w:jc w:val="left"/>
      </w:pPr>
      <w:r>
        <w:rPr>
          <w:rFonts w:ascii="Arial" w:hAnsi="Arial" w:eastAsia="Arial" w:cs="Arial"/>
          <w:color w:val="000000"/>
          <w:sz w:val="20"/>
          <w:szCs w:val="20"/>
        </w:rPr>
        <w:t xml:space="preserve">Norbert Schmid</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Gem § 236 Abs 1 ZPO kann die klagende Partei ohne
Zustimmung des Beklagten bis zum Schluss der mündlichen
Verhandlung, über welche das Urteil ergeht, den Antrag stellen,
dass ein im Laufe des Prozesses streitig gewordenes
Rechtsverhältnis oder Recht, von dessen Bestehen oder Nichtbestehen
die Entscheidung über das Klagebegehren ganz oder zum Teil abhängt,
in dem über die Klage ergehenden oder in einem demselben
vorausgehenden Urteil festgestellt werde.</w:t>
      </w:r>
    </w:p>
    <w:p>
      <w:pPr>
        <w:widowControl w:val="on"/>
        <w:pBdr/>
        <w:spacing w:before="140" w:after="240" w:line="288" w:lineRule="auto"/>
        <w:ind w:left="0" w:right="0"/>
        <w:jc w:val="left"/>
      </w:pPr>
      <w:r>
        <w:rPr>
          <w:rFonts w:ascii="Arial" w:hAnsi="Arial" w:eastAsia="Arial" w:cs="Arial"/>
          <w:color w:val="000000"/>
          <w:sz w:val="20"/>
          <w:szCs w:val="20"/>
        </w:rPr>
        <w:t xml:space="preserve">Umgekehrt kann auch die beklagte Partei im Zuge der mündlichen
Streitverhandlung, ohne der Zustimmung des Klägers zu bedürfen,
einen Antrag auf Feststellung in diesem Sinne stellen (§ 259
Abs 2 ZPO).</w:t>
      </w:r>
    </w:p>
    <w:p>
      <w:pPr>
        <w:widowControl w:val="on"/>
        <w:pBdr/>
        <w:spacing w:before="140" w:after="240" w:line="288" w:lineRule="auto"/>
        <w:ind w:left="0" w:right="0"/>
        <w:jc w:val="left"/>
      </w:pPr>
      <w:r>
        <w:rPr>
          <w:rFonts w:ascii="Arial" w:hAnsi="Arial" w:eastAsia="Arial" w:cs="Arial"/>
          <w:color w:val="000000"/>
          <w:sz w:val="20"/>
          <w:szCs w:val="20"/>
        </w:rPr>
        <w:t xml:space="preserve">Der Zwischenantrag auf Feststellung ist sohin ein vom Kläger
(§ 236 Abs 1 ZPO) oder Beklagten (§ 259 Abs 2
ZPO) während eines anhängigen Rechtsstreits gestellter Antrag mit
dem Begehren, mit Urteil über den Bestand oder Nichtbestand eines
für die Entscheidung über das Klagebegehren oder ein Gegenrecht
</w:t>
      </w:r>
      <w:r>
        <w:rPr>
          <w:rFonts w:ascii="Arial" w:hAnsi="Arial" w:eastAsia="Arial" w:cs="Arial"/>
          <w:b/>
          <w:bCs/>
          <w:color w:val="000000"/>
          <w:sz w:val="20"/>
          <w:szCs w:val="20"/>
        </w:rPr>
        <w:t xml:space="preserve">präjudizielles</w:t>
      </w:r>
      <w:r>
        <w:rPr>
          <w:rFonts w:ascii="Arial" w:hAnsi="Arial" w:eastAsia="Arial" w:cs="Arial"/>
          <w:color w:val="000000"/>
          <w:sz w:val="20"/>
          <w:szCs w:val="20"/>
        </w:rPr>
        <w:t xml:space="preserve">, in seiner Bedeutung </w:t>
      </w:r>
      <w:r>
        <w:rPr>
          <w:rFonts w:ascii="Arial" w:hAnsi="Arial" w:eastAsia="Arial" w:cs="Arial"/>
          <w:b/>
          <w:bCs/>
          <w:color w:val="000000"/>
          <w:sz w:val="20"/>
          <w:szCs w:val="20"/>
        </w:rPr>
        <w:t xml:space="preserve">über
den konkreten Rechtsstreit hinausgehenden</w:t>
      </w:r>
      <w:r>
        <w:rPr>
          <w:rFonts w:ascii="Arial" w:hAnsi="Arial" w:eastAsia="Arial" w:cs="Arial"/>
          <w:color w:val="000000"/>
          <w:sz w:val="20"/>
          <w:szCs w:val="20"/>
        </w:rPr>
        <w:t xml:space="preserve"> </w:t>
      </w:r>
      <w:r>
        <w:rPr>
          <w:rFonts w:ascii="Arial" w:hAnsi="Arial" w:eastAsia="Arial" w:cs="Arial"/>
          <w:b/>
          <w:bCs/>
          <w:color w:val="000000"/>
          <w:sz w:val="20"/>
          <w:szCs w:val="20"/>
        </w:rPr>
        <w:t xml:space="preserve">Rechts
oder Rechtsverhältnisses</w:t>
      </w:r>
      <w:r>
        <w:rPr>
          <w:rFonts w:ascii="Arial" w:hAnsi="Arial" w:eastAsia="Arial" w:cs="Arial"/>
          <w:color w:val="000000"/>
          <w:sz w:val="20"/>
          <w:szCs w:val="20"/>
        </w:rPr>
        <w:t xml:space="preserve"> abzusprechen; dies führt zur
Verselbstständigung der Vorfrage, sodass diese nicht bloß in den
Gründen beurteilt, sondern im Spruch des Urteils und daher mit
bindender Wirkung entschieden wird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Ein Zwischenantrag des Klägers verfolgt somit den Zweck,
</w:t>
      </w:r>
      <w:r>
        <w:rPr>
          <w:rFonts w:ascii="Arial" w:hAnsi="Arial" w:eastAsia="Arial" w:cs="Arial"/>
          <w:b/>
          <w:bCs/>
          <w:color w:val="000000"/>
          <w:sz w:val="20"/>
          <w:szCs w:val="20"/>
        </w:rPr>
        <w:t xml:space="preserve">Vorfragen für den Klageanspruch</w:t>
      </w:r>
      <w:r>
        <w:rPr>
          <w:rFonts w:ascii="Arial" w:hAnsi="Arial" w:eastAsia="Arial" w:cs="Arial"/>
          <w:color w:val="000000"/>
          <w:sz w:val="20"/>
          <w:szCs w:val="20"/>
        </w:rPr>
        <w:t xml:space="preserve"> über den Rahmen
des konkreten Rechtsstreits hinaus mit Rechtskraftwirkung
festzustellen. Für den Beklagten ist der Zwischenantrag ein
Abwehrmittel, mit dem er die rechtskräftige und über den konkreten
Rechtsstreit hinausreichende Feststellung begehrt, dass das für den
Anspruch des Klägers präjudizielle Rechtsverhältnis nicht besteht
(8 Ob 22/17v; 10 Ob 95/15s; 10 Ob 86/07f mwN; RIS-Justiz RS0039621;
RS0039600; RS0039560).</w:t>
      </w:r>
    </w:p>
    <w:p>
      <w:pPr>
        <w:widowControl w:val="on"/>
        <w:pBdr/>
        <w:spacing w:before="140" w:after="240" w:line="288" w:lineRule="auto"/>
        <w:ind w:left="0" w:right="0"/>
        <w:jc w:val="left"/>
      </w:pPr>
      <w:r>
        <w:rPr>
          <w:rFonts w:ascii="Arial" w:hAnsi="Arial" w:eastAsia="Arial" w:cs="Arial"/>
          <w:color w:val="000000"/>
          <w:sz w:val="20"/>
          <w:szCs w:val="20"/>
        </w:rPr>
        <w:t xml:space="preserve">Ein Zwischenantrag auf Feststellung kann nur im Zuge eines
</w:t>
      </w:r>
      <w:r>
        <w:rPr>
          <w:rFonts w:ascii="Arial" w:hAnsi="Arial" w:eastAsia="Arial" w:cs="Arial"/>
          <w:b/>
          <w:bCs/>
          <w:color w:val="000000"/>
          <w:sz w:val="20"/>
          <w:szCs w:val="20"/>
        </w:rPr>
        <w:t xml:space="preserve">anhängigen Rechtsstreits</w:t>
      </w:r>
      <w:r>
        <w:rPr>
          <w:rFonts w:ascii="Arial" w:hAnsi="Arial" w:eastAsia="Arial" w:cs="Arial"/>
          <w:color w:val="000000"/>
          <w:sz w:val="20"/>
          <w:szCs w:val="20"/>
        </w:rPr>
        <w:t xml:space="preserve"> gestellt werden; wird der
Antrag schon in der Klage gestellt, handelt es sich in Wahrheit um
ein Feststellungsbegehren nach § 228 ZPO (RIS-Justiz
RS0039197).</w:t>
      </w:r>
    </w:p>
    <w:p>
      <w:pPr>
        <w:widowControl w:val="on"/>
        <w:pBdr/>
        <w:spacing w:before="140" w:after="240" w:line="288" w:lineRule="auto"/>
        <w:ind w:left="0" w:right="0"/>
        <w:jc w:val="left"/>
      </w:pPr>
      <w:r>
        <w:rPr>
          <w:rFonts w:ascii="Arial" w:hAnsi="Arial" w:eastAsia="Arial" w:cs="Arial"/>
          <w:color w:val="000000"/>
          <w:sz w:val="20"/>
          <w:szCs w:val="20"/>
        </w:rPr>
        <w:t xml:space="preserve">Der Zwischenantrag auf Feststellung setzt zum Unterschied von
der Feststellungsklage einen </w:t>
      </w:r>
      <w:r>
        <w:rPr>
          <w:rFonts w:ascii="Arial" w:hAnsi="Arial" w:eastAsia="Arial" w:cs="Arial"/>
          <w:b/>
          <w:bCs/>
          <w:color w:val="000000"/>
          <w:sz w:val="20"/>
          <w:szCs w:val="20"/>
        </w:rPr>
        <w:t xml:space="preserve">prozessökonomischen
Zweck</w:t>
      </w:r>
      <w:r>
        <w:rPr>
          <w:rFonts w:ascii="Arial" w:hAnsi="Arial" w:eastAsia="Arial" w:cs="Arial"/>
          <w:color w:val="000000"/>
          <w:sz w:val="20"/>
          <w:szCs w:val="20"/>
        </w:rPr>
        <w:t xml:space="preserve"> voraus (MietSlg 30.733; MietSlg 39.756). Ein
Zwischenfeststellungsantrag ist grundsätzlich auch bei Möglichkeit
einer Leistungsklage zulässig (RIS-Justiz RS0039502).</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 236 Abs 1 ZPO kommt jedoch nicht zur Anwendung, wenn
über den Gegenstand des neuen Antrages nur in einem besonderen, für
Angelegenheiten dieser Art ausschließlich vorgeschriebenen
Verfahren verhandelt werden kann, oder wenn die Vorschriften über
die sachliche Zuständigkeit der Gerichte der beantragten
Entscheidung entgegenstehen (§ 236 Abs 2 ZPO), dh in
einem bezirksgerichtlichen Verfahren nach § 49 Abs 1 JN
ist ein Zwischenantrag auf Feststellung gem § 236 Abs 2
ZPO nur dann zulässig, wenn weder der Streitwert des
Feststellungsantrags für sich noch die Summe der
zusammenzurechnenden Streitwerte des Klageanspruchs und des
Feststellungsantrags die vorgesehene Wertgrenze (dzt
EUR 15.000,–) übersteigt (RIS-Justiz RS0119817).</w:t>
      </w:r>
    </w:p>
    <w:p>
      <w:pPr>
        <w:widowControl w:val="on"/>
        <w:pBdr/>
        <w:spacing w:before="140" w:after="240" w:line="288" w:lineRule="auto"/>
        <w:ind w:left="0" w:right="0"/>
        <w:jc w:val="left"/>
      </w:pPr>
      <w:r>
        <w:rPr>
          <w:rFonts w:ascii="Arial" w:hAnsi="Arial" w:eastAsia="Arial" w:cs="Arial"/>
          <w:color w:val="000000"/>
          <w:sz w:val="20"/>
          <w:szCs w:val="20"/>
        </w:rPr>
        <w:t xml:space="preserve">Ein neuer Antrag kann auch eine Anerkennung von </w:t>
      </w:r>
      <w:r>
        <w:rPr>
          <w:rFonts w:ascii="Arial" w:hAnsi="Arial" w:eastAsia="Arial" w:cs="Arial"/>
          <w:b/>
          <w:bCs/>
          <w:color w:val="000000"/>
          <w:sz w:val="20"/>
          <w:szCs w:val="20"/>
        </w:rPr>
        <w:t xml:space="preserve">Akten
oder Urkunden, die im Ausland errichtet wurden</w:t>
      </w:r>
      <w:r>
        <w:rPr>
          <w:rFonts w:ascii="Arial" w:hAnsi="Arial" w:eastAsia="Arial" w:cs="Arial"/>
          <w:color w:val="000000"/>
          <w:sz w:val="20"/>
          <w:szCs w:val="20"/>
        </w:rPr>
        <w:t xml:space="preserve">
(§§ 403 ff EO), zum Gegenstand haben; in diesem Fall ist
§ 236 Abs 2 ZPO nicht anzuwenden (§ 236 Abs 3
ZPO).</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Die Zulässigkeit eines Zwischenantrages auf Feststellung ist
</w:t>
      </w:r>
      <w:r>
        <w:rPr>
          <w:rFonts w:ascii="Arial" w:hAnsi="Arial" w:eastAsia="Arial" w:cs="Arial"/>
          <w:b/>
          <w:bCs/>
          <w:color w:val="000000"/>
          <w:sz w:val="20"/>
          <w:szCs w:val="20"/>
        </w:rPr>
        <w:t xml:space="preserve">von Amts wegen</w:t>
      </w:r>
      <w:r>
        <w:rPr>
          <w:rFonts w:ascii="Arial" w:hAnsi="Arial" w:eastAsia="Arial" w:cs="Arial"/>
          <w:color w:val="000000"/>
          <w:sz w:val="20"/>
          <w:szCs w:val="20"/>
        </w:rPr>
        <w:t xml:space="preserve"> zu prüfen (RIS-Justiz RS0039444),
und zwar in </w:t>
      </w:r>
      <w:r>
        <w:rPr>
          <w:rFonts w:ascii="Arial" w:hAnsi="Arial" w:eastAsia="Arial" w:cs="Arial"/>
          <w:b/>
          <w:bCs/>
          <w:color w:val="000000"/>
          <w:sz w:val="20"/>
          <w:szCs w:val="20"/>
        </w:rPr>
        <w:t xml:space="preserve">jeder Lage des Verfahrens</w:t>
      </w:r>
      <w:r>
        <w:rPr>
          <w:rFonts w:ascii="Arial" w:hAnsi="Arial" w:eastAsia="Arial" w:cs="Arial"/>
          <w:color w:val="000000"/>
          <w:sz w:val="20"/>
          <w:szCs w:val="20"/>
        </w:rPr>
        <w:t xml:space="preserve"> (4 Ob 2/19a
Zak 2019/216 = ecolex 2019/223), auch noch im Rechtsmittelverfahren
(7 Ob 378/65).</w:t>
      </w:r>
    </w:p>
    <w:p>
      <w:pPr>
        <w:widowControl w:val="on"/>
        <w:pBdr/>
        <w:spacing w:before="140" w:after="240" w:line="288" w:lineRule="auto"/>
        <w:ind w:left="0" w:right="0"/>
        <w:jc w:val="left"/>
      </w:pPr>
      <w:r>
        <w:rPr>
          <w:rFonts w:ascii="Arial" w:hAnsi="Arial" w:eastAsia="Arial" w:cs="Arial"/>
          <w:color w:val="000000"/>
          <w:sz w:val="20"/>
          <w:szCs w:val="20"/>
        </w:rPr>
        <w:t xml:space="preserve">Voraussetzung für die Zulässigkeit eines Zwischenantrags auf
Feststellung ist, – neben den allgemeinen Prozessvoraussetzungen –,
dass das festzustellende Rechtsverhältnis oder Recht bestritten
wurde, für die Entscheidung in der Hauptsache über das
Hauptbegehren präjudiziell ist, dass also das Bestehen oder
Nichtbestehen des strittigen Rechtes oder Rechtsverhältnisses für
die zu fällende Entscheidung präjudiziell ist, also eine Vorfrage
(bedingendes Rechtsverhältnis) für das Klagebegehren (auch ein
Eventualbegehren) bildet (7 Ob 618/88) und die Bedeutung der
Feststellung über den konkreten Rechtsstreit hinausrecht. Ein
besonderes Interesse an der alsbaldigen Feststellung ist
demgegenüber grundsätzlich nicht erforderlich (RIS-Justiz
RS0039600).</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Die Präjudizierung künftiger Rechtsstreitigkeiten über gleichartige
Ansprüche zwischen den gleichen Parteien, die aus demselben
rechtserzeugenden Sachverhalt abgeleitet werden können, durch den
begehrten Feststellungsanspruch ist grundsätzliches
Zulässigkeitserfordernis für einen Zwischenfeststellungsantrag im
Sinne der §§ 236 und 259 ZPO (RIS-Justiz RS0039575). Ein
Rechtsverhältnis oder Recht ist präjudiziell, wenn die Entscheidung
des Prozesses ganz oder zum Teil von dessen Bestehen oder
Nichtbestehen abhängt, ohne dass aber das Rechtsverhältnis oder
Recht mit dem in der Klage geltend gemachten Anspruch ident ist
(RIS-Justiz RS0039539). Die </w:t>
      </w:r>
      <w:r>
        <w:rPr>
          <w:rFonts w:ascii="Arial" w:hAnsi="Arial" w:eastAsia="Arial" w:cs="Arial"/>
          <w:b/>
          <w:bCs/>
          <w:color w:val="000000"/>
          <w:sz w:val="20"/>
          <w:szCs w:val="20"/>
        </w:rPr>
        <w:t xml:space="preserve">Präjudizialität</w:t>
      </w:r>
      <w:r>
        <w:rPr>
          <w:rFonts w:ascii="Arial" w:hAnsi="Arial" w:eastAsia="Arial" w:cs="Arial"/>
          <w:color w:val="000000"/>
          <w:sz w:val="20"/>
          <w:szCs w:val="20"/>
        </w:rPr>
        <w:t xml:space="preserve"> muss
für den Klagsanspruch selbst oder für das vom Beklagten geltend
gemachte Gegenrecht bestehen (1 Ob 586/50 SZ 23/294). Die
Präjudizialität für die Entscheidung über das Klagebegehren ist
eine </w:t>
      </w:r>
      <w:r>
        <w:rPr>
          <w:rFonts w:ascii="Arial" w:hAnsi="Arial" w:eastAsia="Arial" w:cs="Arial"/>
          <w:b/>
          <w:bCs/>
          <w:color w:val="000000"/>
          <w:sz w:val="20"/>
          <w:szCs w:val="20"/>
        </w:rPr>
        <w:t xml:space="preserve">(besondere) Prozessvoraussetzung</w:t>
      </w:r>
      <w:r>
        <w:rPr>
          <w:rFonts w:ascii="Arial" w:hAnsi="Arial" w:eastAsia="Arial" w:cs="Arial"/>
          <w:color w:val="000000"/>
          <w:sz w:val="20"/>
          <w:szCs w:val="20"/>
        </w:rPr>
        <w:t xml:space="preserve"> (1 Ob
611/94) und ist deren Vorliegen in jeder Phase des Verfahrens von
Amts wegen zu prüfen (10 Ob 86/07f; ua). Wird ein Anspruch auf
mehrere Rechtsgründe gestützt, so reicht es aus, wenn
Präjudizialität für einen dieser Rechtsgründe gegeben ist (4 Ob
74/55 EvBl 1955/348). Die bloße, nicht näher konkretisierte
Behauptung, die begehrte Feststellung wirke über den Rahmen des
Rechtsstreites hinaus, genügt jedenfalls nicht für die Zulässigkeit
eines Zwischenfeststellungsantrages (RIS-Justiz RS0039528). Es
genügt auch nicht die bloß theoretische Möglichkeit der
Geltendmachung weiterer Ansprüche; vielmehr muss nach der konkreten
Lage des einzelnen Falls die Präjudizialität der zu klärenden Frage
für andere Ansprüche des Antragstellers wahrscheinlich sein. (1 Ob
8/07v). Für die Beurteilung der konkreten Präjudizialität ist die
Rechtsansicht des im Instanzenzug zuletzt mit der Hauptsache
befassten Gerichtes entscheidend (RIS-Justiz RS0039552). Einem
Antrag auf Zwischenfeststellung fehlt es an der erforderlichen
Präjudizialität, wenn das Hauptbegehren wegen eines
Prozesshindernisses (bspw der rechtskräftig entschiedenen Sache)
zurückzuweisen ist (2 Ob 71/07s).</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Die Wirkung einer durch den Zwischenantrag begehrten Feststellung
muss </w:t>
      </w:r>
      <w:r>
        <w:rPr>
          <w:rFonts w:ascii="Arial" w:hAnsi="Arial" w:eastAsia="Arial" w:cs="Arial"/>
          <w:b/>
          <w:bCs/>
          <w:color w:val="000000"/>
          <w:sz w:val="20"/>
          <w:szCs w:val="20"/>
        </w:rPr>
        <w:t xml:space="preserve">über den konkreten Rechtsstreit hinausgehen</w:t>
      </w:r>
      <w:r>
        <w:rPr>
          <w:rFonts w:ascii="Arial" w:hAnsi="Arial" w:eastAsia="Arial" w:cs="Arial"/>
          <w:color w:val="000000"/>
          <w:sz w:val="20"/>
          <w:szCs w:val="20"/>
        </w:rPr>
        <w:t xml:space="preserve">
(10 Ob 86/07f; RIS-Justiz RS0039468; RS0039600; RS0039539), diese
Wirkung muss dem Vorbringen des Antragstellers bzw aus der ganzen
Sachlage heraus klar erkennbar sein (RIS-Justiz RS0039468). Reicht
die Bedeutung der Feststellung über den konkreten Rechtsstreit
nicht hinaus, besteht kein Bedürfnis nach selbstständiger
urteilsmäßiger Feststellung des präjudiziellen Rechtsverhältnisses,
weil die in den Entscheidungsgründen vorgenommene Beurteilung zur
Erledigung des konkreten Rechtsstreits ausreicht und sich in ihm
erschöpft (RIS-Justiz RS0039468; RS0039600). Die über den konkreten
Rechtsstreit hinausgehende Wirkung muss dabei dem Vorbringen des
Antragstellers oder aus der ganzen Sachlage heraus klar erkennbar
sein (RIS-Justiz RS0039468). Der Kläger, der einen Zwischenantrag
auf Feststellung stellt, muss also </w:t>
      </w:r>
      <w:r>
        <w:rPr>
          <w:rFonts w:ascii="Arial" w:hAnsi="Arial" w:eastAsia="Arial" w:cs="Arial"/>
          <w:b/>
          <w:bCs/>
          <w:color w:val="000000"/>
          <w:sz w:val="20"/>
          <w:szCs w:val="20"/>
        </w:rPr>
        <w:t xml:space="preserve">dartun</w:t>
      </w:r>
      <w:r>
        <w:rPr>
          <w:rFonts w:ascii="Arial" w:hAnsi="Arial" w:eastAsia="Arial" w:cs="Arial"/>
          <w:color w:val="000000"/>
          <w:sz w:val="20"/>
          <w:szCs w:val="20"/>
        </w:rPr>
        <w:t xml:space="preserve">, dass
die Wirkung der begehrten Feststellung über den konkreten
Rechtsstreit hinausreicht (RIS-Justiz RS0034336; eine solche
Dartuung ist bspw bei einem nach Ablauf der dreijährigen
Verjährungsfrist gestellten Zwischenantrag auf Feststellung der
Schadenersatzpflicht des Beklagten für künftige Schäden – auch für
unvorhergesehene und unvorhersehbare Schäden – nicht möglich). Die
bloße, nicht näher konkretisierte Behauptung, die begehrte
Feststellung wirke über den Rahmen des Rechtsstreits hinaus,
und/oder die bloß theoretische Möglichkeit der Geltendmachung
weiterer Ansprüche genügt nicht für die Zulässigkeit eines
Zwischenfeststellungsantrags; es muss nach der konkreten Lage des
einzelnen Falls die Präjudizialität der zu klärenden Frage für
andere Ansprüche des Antragstellers wahrscheinlich sein (RIS-Justiz
RS0039514; RS0039528). Es genügt auch nicht die bloß theoretische
Möglichkeit der Geltendmachung weiterer Ansprüche; vielmehr muss
nach der konkreten Lage des einzelnen Falls die Präjudizialität der
zu klärenden Frage für andere Ansprüche des Antragstellers
wahrscheinlich sein (1 Ob 8/07v).</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Gegenstand der Feststellung kann nur ein </w:t>
      </w:r>
      <w:r>
        <w:rPr>
          <w:rFonts w:ascii="Arial" w:hAnsi="Arial" w:eastAsia="Arial" w:cs="Arial"/>
          <w:b/>
          <w:bCs/>
          <w:color w:val="000000"/>
          <w:sz w:val="20"/>
          <w:szCs w:val="20"/>
        </w:rPr>
        <w:t xml:space="preserve">Recht oder
Rechtsverhältnis</w:t>
      </w:r>
      <w:r>
        <w:rPr>
          <w:rFonts w:ascii="Arial" w:hAnsi="Arial" w:eastAsia="Arial" w:cs="Arial"/>
          <w:color w:val="000000"/>
          <w:sz w:val="20"/>
          <w:szCs w:val="20"/>
        </w:rPr>
        <w:t xml:space="preserve">, nicht aber die Feststellung einer
Tatsache sein (RIS-Justiz RS0039621; RS0039598). Unter einem
solchen im Lauf des Prozesses streitig gewordenen Rechtsverhältnis
oder Recht sind zum einen die bestimmte, durch den vorgetragenen
Sachverhalt gegebene und konkretisierte rechtlich geregelte
Beziehung von Personen untereinander oder von Personen zu Sachen,
zum anderen auch einzelne rechtliche Folgen einer solchen Beziehung
wie etwa einzelne Forderungen oder daraus abgeleitete Ansprüche zu
verstehen (3 Ob 594/81 = RIS-Justiz RS0039612; RS0039223). In
Zusammenhang mit feststellungsfähigen Rechtsverhältnissen kann auch
auf die Judikatur zu § 228 ZPO verwiesen werden. Das streitig
gewordene Rechtsverhältnis muss sohin nicht ein solches zwischen
den Parteien sein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12). Die ohnehin geregelte objektive Rechtslage ist hingegen nicht
feststellungsfähig (RIS-Justiz RS0039014; RS0038802; RS0039215;
RS0037422). Das gilt im Besonderen für die Kontrolle einer
abstrakten Norm auf ihre Verfassungskonformität (3 Ob 594/81 =
RIS-Justiz RS0039612). Auch die Frage, welches Gesetz auf das
Verfahren anzuwenden sei, ist kein möglicher Gegenstand eines
Zwischenantrages auf Feststellung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9) oder die Frage, welches nationales Recht auf
den geltend gemachten Anspruch anzuwenden ist (LGZ Wien 6.7.1994 WR
673). Es kann zudem nicht jede einzelne Einwendung zum Gegenstand
eines Zwischenantrages auf Feststellung gemacht werden und den
Anlass zu einem besonderen Urteilsspruch geben (RIS-Justiz
RS0039680). Unzulässig ist es, wenn der Zwischenfeststellungsantrag
(nur) auf die Lösung einer einzelnen Rechtsfrage abzielt und nicht
auf die Feststellung eines Rechts im Sinne der Rechtsprechung zum
Zwischenantrag auf Feststellung (vgl 1 Ob 15/13g). Eine solche
Teilfrage kann nicht herausgegriffen und zum Gegenstand der
Entscheidung gemacht werden (RIS-Justiz RS0039484). Somit können
einzelne Rechtsfragen, die die Entscheidung über den Anspruch
notwendigerweise in sich begreift, nicht Gegenstand eines
Zwischenantrags auf Feststellung sein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da der
Zwischenfeststellungsantrag eben nicht dem Zweck dient, einzelne
Rechtsfragen für sich herauszuheben und zum Gegenstand eines
Urteils zu machen (RIS-Justiz RS0039615). Bei der Prüfung der
Zulässigkeit ist auf die Frage des materiellen Erfolges nicht
einzugehen (5 Ob 97/85).</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Auch beim Zwischenfeststellungsantrag ist ein
</w:t>
      </w:r>
      <w:r>
        <w:rPr>
          <w:rFonts w:ascii="Arial" w:hAnsi="Arial" w:eastAsia="Arial" w:cs="Arial"/>
          <w:b/>
          <w:bCs/>
          <w:color w:val="000000"/>
          <w:sz w:val="20"/>
          <w:szCs w:val="20"/>
        </w:rPr>
        <w:t xml:space="preserve">Feststellungsinteresse</w:t>
      </w:r>
      <w:r>
        <w:rPr>
          <w:rFonts w:ascii="Arial" w:hAnsi="Arial" w:eastAsia="Arial" w:cs="Arial"/>
          <w:color w:val="000000"/>
          <w:sz w:val="20"/>
          <w:szCs w:val="20"/>
        </w:rPr>
        <w:t xml:space="preserve"> (vgl § 228 ZPO) zu
fordern (RIS-Justiz RS0039617).</w:t>
      </w:r>
    </w:p>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Die Feststellung von </w:t>
      </w:r>
      <w:r>
        <w:rPr>
          <w:rFonts w:ascii="Arial" w:hAnsi="Arial" w:eastAsia="Arial" w:cs="Arial"/>
          <w:b/>
          <w:bCs/>
          <w:color w:val="000000"/>
          <w:sz w:val="20"/>
          <w:szCs w:val="20"/>
        </w:rPr>
        <w:t xml:space="preserve">Tatsachen</w:t>
      </w:r>
      <w:r>
        <w:rPr>
          <w:rFonts w:ascii="Arial" w:hAnsi="Arial" w:eastAsia="Arial" w:cs="Arial"/>
          <w:color w:val="000000"/>
          <w:sz w:val="20"/>
          <w:szCs w:val="20"/>
        </w:rPr>
        <w:t xml:space="preserve">, mögen sie auch
rechtserheblich oder rechtserzeugend oder Voraussetzung für einen
an sich zulässigen Feststellungsantrag sein, kann
</w:t>
      </w:r>
      <w:r>
        <w:rPr>
          <w:rFonts w:ascii="Arial" w:hAnsi="Arial" w:eastAsia="Arial" w:cs="Arial"/>
          <w:b/>
          <w:bCs/>
          <w:color w:val="000000"/>
          <w:sz w:val="20"/>
          <w:szCs w:val="20"/>
        </w:rPr>
        <w:t xml:space="preserve">nicht</w:t>
      </w:r>
      <w:r>
        <w:rPr>
          <w:rFonts w:ascii="Arial" w:hAnsi="Arial" w:eastAsia="Arial" w:cs="Arial"/>
          <w:color w:val="000000"/>
          <w:sz w:val="20"/>
          <w:szCs w:val="20"/>
        </w:rPr>
        <w:t xml:space="preserve"> Gegenstand eines
Zwischenfeststellungsantrages sein (RIS-Justiz RS0039598), bspw die
Feststellung, dass eine bestimmte Bestellung erfolgt sei (LGZ Wien
18.4.1935 EvBl 1935/466) oder dass bestimmte Häuser eine
wirtschaftliche Einheit darstellen und daher die Betriebskosten
gemeinsam abzurechnen seien (LG Graz 23.9.1993 MietSlg 45.674).
Auch die Absicht der Parteien bei Abschluss eines Vertrages kann
nicht Gegenstand eines Zwischenfeststellungsantrages sein
(RIS-Justiz RS0039674).</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Der nach </w:t>
      </w:r>
      <w:r>
        <w:rPr>
          <w:rFonts w:ascii="Arial" w:hAnsi="Arial" w:eastAsia="Arial" w:cs="Arial"/>
          <w:b/>
          <w:bCs/>
          <w:color w:val="000000"/>
          <w:sz w:val="20"/>
          <w:szCs w:val="20"/>
        </w:rPr>
        <w:t xml:space="preserve">§ 259 Abs 2 ZPO</w:t>
      </w:r>
      <w:r>
        <w:rPr>
          <w:rFonts w:ascii="Arial" w:hAnsi="Arial" w:eastAsia="Arial" w:cs="Arial"/>
          <w:color w:val="000000"/>
          <w:sz w:val="20"/>
          <w:szCs w:val="20"/>
        </w:rPr>
        <w:t xml:space="preserve"> zulässige
Zwischenantrag auf Feststellung des </w:t>
      </w:r>
      <w:r>
        <w:rPr>
          <w:rFonts w:ascii="Arial" w:hAnsi="Arial" w:eastAsia="Arial" w:cs="Arial"/>
          <w:b/>
          <w:bCs/>
          <w:color w:val="000000"/>
          <w:sz w:val="20"/>
          <w:szCs w:val="20"/>
        </w:rPr>
        <w:t xml:space="preserve">Beklagten</w:t>
      </w:r>
      <w:r>
        <w:rPr>
          <w:rFonts w:ascii="Arial" w:hAnsi="Arial" w:eastAsia="Arial" w:cs="Arial"/>
          <w:color w:val="000000"/>
          <w:sz w:val="20"/>
          <w:szCs w:val="20"/>
        </w:rPr>
        <w:t xml:space="preserve">
stellt ein Abwehrmittel dar, das bezweckt, die über den Rahmen des
Rechtsstreites hinausgehender rechtskräftiger Verneinung des vom
Kläger behaupteten rechtserzeugenden Tatbestandes zu erwirken
(RIS-Justiz RS0039621). Für den Beklagten ist der Zwischenantrag
ein aktives Abwehrmittel, mit dem er die rechtskräftige und über
den konkreten Rechtsstreit hinausreichende Feststellung begehrt,
dass das für den Anspruch des Klägers präjudizielle
Rechtsverhältnis nicht besteht (10 Ob 86/07f). Der Zwischenantrag
des Beklagten stellt nach der Widerklage das stärkere Abwehrmittel
des Beklagten dar und bezweckt die über den Rahmen des
Rechtsstreites hinaus wirkende rechtskräftige Verneinung des vom
Kläger behaupteten rechtserzeugenden Tatbestandes (RIS-Justiz
RS0039560). Der Zwischenantrag des Beklagten darf sich jedoch nicht
in der bloßen Negation des Klageanspruchs erschöpfen (10 Ob 86/07f
EvBl 2008/45). Somit ist bspw in einem Verfahren über eine
Räumungsklage nach § 1112 ABGB ein vonseiten des Beklagten
gestellter Zwischenantrag, wonach das Bestandsverhältnis nicht nach
§ 1112 ABGB erloschen sei, unzulässig (LGZ Wien 13.9.1974
MietSlg 26.506).</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Neben diesen besonderen Erfordernissen müssen für einen
Zwischenantrag auf Feststellung aber auch die </w:t>
      </w:r>
      <w:r>
        <w:rPr>
          <w:rFonts w:ascii="Arial" w:hAnsi="Arial" w:eastAsia="Arial" w:cs="Arial"/>
          <w:b/>
          <w:bCs/>
          <w:color w:val="000000"/>
          <w:sz w:val="20"/>
          <w:szCs w:val="20"/>
        </w:rPr>
        <w:t xml:space="preserve">allgemeinen
Prozessvoraussetzungen</w:t>
      </w:r>
      <w:r>
        <w:rPr>
          <w:rFonts w:ascii="Arial" w:hAnsi="Arial" w:eastAsia="Arial" w:cs="Arial"/>
          <w:color w:val="000000"/>
          <w:sz w:val="20"/>
          <w:szCs w:val="20"/>
        </w:rPr>
        <w:t xml:space="preserve"> gegeben sein (2 Ob 183/07m).</w:t>
      </w:r>
    </w:p>
    <w:p>
      <w:pPr>
        <w:widowControl w:val="on"/>
        <w:pBdr/>
        <w:spacing w:before="140" w:after="240" w:line="288" w:lineRule="auto"/>
        <w:ind w:left="0" w:right="0"/>
        <w:jc w:val="left"/>
      </w:pPr>
      <w:r>
        <w:rPr>
          <w:rFonts w:ascii="Arial" w:hAnsi="Arial" w:eastAsia="Arial" w:cs="Arial"/>
          <w:color w:val="000000"/>
          <w:sz w:val="20"/>
          <w:szCs w:val="20"/>
        </w:rPr>
        <w:t xml:space="preserve">In </w:t>
      </w:r>
      <w:r>
        <w:rPr>
          <w:rFonts w:ascii="Arial" w:hAnsi="Arial" w:eastAsia="Arial" w:cs="Arial"/>
          <w:b/>
          <w:bCs/>
          <w:color w:val="000000"/>
          <w:sz w:val="20"/>
          <w:szCs w:val="20"/>
        </w:rPr>
        <w:t xml:space="preserve">zeitlicher Hinsicht</w:t>
      </w:r>
      <w:r>
        <w:rPr>
          <w:rFonts w:ascii="Arial" w:hAnsi="Arial" w:eastAsia="Arial" w:cs="Arial"/>
          <w:color w:val="000000"/>
          <w:sz w:val="20"/>
          <w:szCs w:val="20"/>
        </w:rPr>
        <w:t xml:space="preserve"> setzt der Zwischenantrag
auf Feststellung jedenfalls ein anhängiges Verfahren voraus
(RIS-Justiz RS0039197) und kann zudem nur bis zum Schluss der
mündlichen Verhandlung, über welche das Urteil ergeht, gestellt
werden, sohin nicht mehr im Rahmen des Berufungsverfahrens (2 Ob
2/62 EvBl 1962/169).</w:t>
      </w:r>
    </w:p>
    <w:p>
      <w:pPr>
        <w:widowControl w:val="on"/>
        <w:pBdr/>
        <w:spacing w:before="140" w:after="240" w:line="288" w:lineRule="auto"/>
        <w:ind w:left="0" w:right="0"/>
        <w:jc w:val="left"/>
      </w:pPr>
      <w:r>
        <w:rPr>
          <w:rFonts w:ascii="Arial" w:hAnsi="Arial" w:eastAsia="Arial" w:cs="Arial"/>
          <w:color w:val="000000"/>
          <w:sz w:val="20"/>
          <w:szCs w:val="20"/>
        </w:rPr>
        <w:t xml:space="preserve">Die Zulässigkeit des Zwischenantrags fehlt bzw ist
</w:t>
      </w:r>
      <w:r>
        <w:rPr>
          <w:rFonts w:ascii="Arial" w:hAnsi="Arial" w:eastAsia="Arial" w:cs="Arial"/>
          <w:b/>
          <w:bCs/>
          <w:color w:val="000000"/>
          <w:sz w:val="20"/>
          <w:szCs w:val="20"/>
        </w:rPr>
        <w:t xml:space="preserve">weggefallen</w:t>
      </w:r>
      <w:r>
        <w:rPr>
          <w:rFonts w:ascii="Arial" w:hAnsi="Arial" w:eastAsia="Arial" w:cs="Arial"/>
          <w:color w:val="000000"/>
          <w:sz w:val="20"/>
          <w:szCs w:val="20"/>
        </w:rPr>
        <w:t xml:space="preserve">, wenn nur eine der beiden
Voraussetzungen, die zusammen an die Stelle des rechtlichen
Interesses iSd § 228 ZPO treten – nicht gegeben ist (1 Ob
611/94).</w:t>
      </w:r>
    </w:p>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Für die Beurteilung der konkreten Präjudizialität ist die
Rechtsansicht des im Instanzenzug zuletzt mit der Hauptsache
befassten Gerichtes entscheidend (RIS-Justiz RS0039552).</w:t>
      </w:r>
    </w:p>
    <w:p>
      <w:pPr>
        <w:widowControl w:val="on"/>
        <w:pBdr/>
        <w:spacing w:before="140" w:after="240" w:line="288" w:lineRule="auto"/>
        <w:ind w:left="0" w:right="0"/>
        <w:jc w:val="left"/>
      </w:pPr>
      <w:r>
        <w:rPr>
          <w:rFonts w:ascii="Arial" w:hAnsi="Arial" w:eastAsia="Arial" w:cs="Arial"/>
          <w:color w:val="000000"/>
          <w:sz w:val="20"/>
          <w:szCs w:val="20"/>
        </w:rPr>
        <w:t xml:space="preserve">Ein Zwischenantrag auf Feststellung kann aber auch noch nach
Klagseinschränkung auf Kosten zulässig sein, wenn das seinen
Gegenstand bildende Recht oder Rechtsverhältnis immer noch für die
Kostenentscheidung präjudiziell ist und das begehrte Urteil über
den Rechtsstreit hinaus wirken würde (7 Ob 37/74 EvBl
1974/223).</w:t>
      </w:r>
    </w:p>
    <w:p>
      <w:pPr>
        <w:widowControl w:val="on"/>
        <w:pBdr/>
        <w:spacing w:before="140" w:after="240" w:line="288" w:lineRule="auto"/>
        <w:ind w:left="0" w:right="0"/>
        <w:jc w:val="left"/>
      </w:pPr>
      <w:r>
        <w:rPr>
          <w:rFonts w:ascii="Arial" w:hAnsi="Arial" w:eastAsia="Arial" w:cs="Arial"/>
          <w:color w:val="000000"/>
          <w:sz w:val="20"/>
          <w:szCs w:val="20"/>
        </w:rPr>
        <w:t xml:space="preserve">Nach rechtskräftiger Entscheidung über das Klagebegehren fehlt
dem – noch offen gebliebenen – Zwischenfeststellungsantrag die
Präjudizialität (RIS-Justiz RS0039590). Der Zwischenantrag auf
Feststellung ist ohne jede weitere materielle Prüfung
zurückzuweisen (4 Ob 46/98p). Nach rechtskräftiger Beendigung des
Verfahrens über das Klagebegehren darf daher das Verfahren über den
Zwischenantrag auf Feststellung nicht mehr fortgesetzt werden (9 Ob
30/20g; 4 Ob 59/02h).</w:t>
      </w:r>
    </w:p>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Ein </w:t>
      </w:r>
      <w:r>
        <w:rPr>
          <w:rFonts w:ascii="Arial" w:hAnsi="Arial" w:eastAsia="Arial" w:cs="Arial"/>
          <w:b/>
          <w:bCs/>
          <w:color w:val="000000"/>
          <w:sz w:val="20"/>
          <w:szCs w:val="20"/>
        </w:rPr>
        <w:t xml:space="preserve">schriftlich eingebrachter Zwischenantrag</w:t>
      </w:r>
      <w:r>
        <w:rPr>
          <w:rFonts w:ascii="Arial" w:hAnsi="Arial" w:eastAsia="Arial" w:cs="Arial"/>
          <w:color w:val="000000"/>
          <w:sz w:val="20"/>
          <w:szCs w:val="20"/>
        </w:rPr>
        <w:t xml:space="preserve"> auf
Feststellung muss daher in der mündlichen Streitverhandlung
</w:t>
      </w:r>
      <w:r>
        <w:rPr>
          <w:rFonts w:ascii="Arial" w:hAnsi="Arial" w:eastAsia="Arial" w:cs="Arial"/>
          <w:b/>
          <w:bCs/>
          <w:color w:val="000000"/>
          <w:sz w:val="20"/>
          <w:szCs w:val="20"/>
        </w:rPr>
        <w:t xml:space="preserve">vorgetragen</w:t>
      </w:r>
      <w:r>
        <w:rPr>
          <w:rFonts w:ascii="Arial" w:hAnsi="Arial" w:eastAsia="Arial" w:cs="Arial"/>
          <w:color w:val="000000"/>
          <w:sz w:val="20"/>
          <w:szCs w:val="20"/>
        </w:rPr>
        <w:t xml:space="preserve"> werden (2 Ob 272/99k; 2 Ob 163/70; vgl
RIS-Justiz RS0034965).</w:t>
      </w:r>
    </w:p>
    <w:p>
      <w:pPr>
        <w:widowControl w:val="on"/>
        <w:pBdr/>
        <w:spacing w:before="140" w:after="240" w:line="288" w:lineRule="auto"/>
        <w:ind w:left="0" w:right="0"/>
        <w:jc w:val="left"/>
      </w:pPr>
      <w:r>
        <w:rPr>
          <w:rFonts w:ascii="Arial" w:hAnsi="Arial" w:eastAsia="Arial" w:cs="Arial"/>
          <w:color w:val="000000"/>
          <w:sz w:val="20"/>
          <w:szCs w:val="20"/>
        </w:rPr>
        <w:t xml:space="preserve">Für die einwandfreie sprachliche Fassung eines zulässigen
Zwischenfeststellungsantrages hat das Gericht gegebenenfalls auch
im Berufungsverfahren zu sorgen (RIS-Justiz RS0039564). Das
Begehren ist immer so zu verstehen, wie es im Zusammenhalt mit dem
Vorbringen tatsächlicher Art von der Partei gemeint war (6 Ob
181/06w).</w:t>
      </w:r>
    </w:p>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Durch den Zwischenfeststellungsantrag wird das Begehren auf
Feststellung des Bestehens oder Nichtbestehens des präjudiziellen
Rechtsverhältnisses zum </w:t>
      </w:r>
      <w:r>
        <w:rPr>
          <w:rFonts w:ascii="Arial" w:hAnsi="Arial" w:eastAsia="Arial" w:cs="Arial"/>
          <w:b/>
          <w:bCs/>
          <w:color w:val="000000"/>
          <w:sz w:val="20"/>
          <w:szCs w:val="20"/>
        </w:rPr>
        <w:t xml:space="preserve">selbstständigen
Entscheidungsgegenstand</w:t>
      </w:r>
      <w:r>
        <w:rPr>
          <w:rFonts w:ascii="Arial" w:hAnsi="Arial" w:eastAsia="Arial" w:cs="Arial"/>
          <w:color w:val="000000"/>
          <w:sz w:val="20"/>
          <w:szCs w:val="20"/>
        </w:rPr>
        <w:t xml:space="preserve"> (RIS-Justiz RS0039626).</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Der Feststellungsantrag kann bis zum Schluss der Verhandlung
jederzeit und ohne Zustimmung des Gegners
</w:t>
      </w:r>
      <w:r>
        <w:rPr>
          <w:rFonts w:ascii="Arial" w:hAnsi="Arial" w:eastAsia="Arial" w:cs="Arial"/>
          <w:b/>
          <w:bCs/>
          <w:color w:val="000000"/>
          <w:sz w:val="20"/>
          <w:szCs w:val="20"/>
        </w:rPr>
        <w:t xml:space="preserve">zurückgezogen</w:t>
      </w:r>
      <w:r>
        <w:rPr>
          <w:rFonts w:ascii="Arial" w:hAnsi="Arial" w:eastAsia="Arial" w:cs="Arial"/>
          <w:color w:val="000000"/>
          <w:sz w:val="20"/>
          <w:szCs w:val="20"/>
        </w:rPr>
        <w:t xml:space="preserve"> werden (4 Ob 71/64 SZ 37/126).</w:t>
      </w:r>
    </w:p>
    <w:p>
      <w:pPr>
        <w:widowControl w:val="on"/>
        <w:pBdr/>
        <w:spacing w:before="140" w:after="240" w:line="288" w:lineRule="auto"/>
        <w:ind w:left="0" w:right="0"/>
        <w:jc w:val="left"/>
      </w:pPr>
      <w:r>
        <w:rPr>
          <w:rFonts w:ascii="Arial" w:hAnsi="Arial" w:eastAsia="Arial" w:cs="Arial"/>
          <w:b/>
          <w:bCs/>
          <w:color w:val="000000"/>
          <w:sz w:val="20"/>
          <w:szCs w:val="20"/>
        </w:rPr>
        <w:t xml:space="preserve">16</w:t>
      </w:r>
      <w:r>
        <w:rPr>
          <w:rFonts w:ascii="Arial" w:hAnsi="Arial" w:eastAsia="Arial" w:cs="Arial"/>
          <w:color w:val="000000"/>
          <w:sz w:val="20"/>
          <w:szCs w:val="20"/>
        </w:rPr>
        <w:br/>
        <w:t xml:space="preserve">Ein Zwischenantrag auf Feststellung löst keine
</w:t>
      </w:r>
      <w:r>
        <w:rPr>
          <w:rFonts w:ascii="Arial" w:hAnsi="Arial" w:eastAsia="Arial" w:cs="Arial"/>
          <w:b/>
          <w:bCs/>
          <w:color w:val="000000"/>
          <w:sz w:val="20"/>
          <w:szCs w:val="20"/>
        </w:rPr>
        <w:t xml:space="preserve">Pauschalgebühren</w:t>
      </w:r>
      <w:r>
        <w:rPr>
          <w:rFonts w:ascii="Arial" w:hAnsi="Arial" w:eastAsia="Arial" w:cs="Arial"/>
          <w:color w:val="000000"/>
          <w:sz w:val="20"/>
          <w:szCs w:val="20"/>
        </w:rPr>
        <w:t xml:space="preserve"> aus (VfGH B 1228/99 wobl
2003/200).</w:t>
      </w:r>
    </w:p>
    <w:p>
      <w:pPr>
        <w:widowControl w:val="on"/>
        <w:pBdr/>
        <w:spacing w:before="140" w:after="240" w:line="288" w:lineRule="auto"/>
        <w:ind w:left="0" w:right="0"/>
        <w:jc w:val="left"/>
      </w:pPr>
      <w:r>
        <w:rPr>
          <w:rFonts w:ascii="Arial" w:hAnsi="Arial" w:eastAsia="Arial" w:cs="Arial"/>
          <w:b/>
          <w:bCs/>
          <w:color w:val="000000"/>
          <w:sz w:val="20"/>
          <w:szCs w:val="20"/>
        </w:rPr>
        <w:t xml:space="preserve">17</w:t>
      </w:r>
      <w:r>
        <w:rPr>
          <w:rFonts w:ascii="Arial" w:hAnsi="Arial" w:eastAsia="Arial" w:cs="Arial"/>
          <w:color w:val="000000"/>
          <w:sz w:val="20"/>
          <w:szCs w:val="20"/>
        </w:rPr>
        <w:br/>
        <w:t xml:space="preserve">Ein Zwischenfeststellungsantrag begründet bezüglich des seinen
Gegenstand bildenden Rechtsverhältnisses
</w:t>
      </w:r>
      <w:r>
        <w:rPr>
          <w:rFonts w:ascii="Arial" w:hAnsi="Arial" w:eastAsia="Arial" w:cs="Arial"/>
          <w:b/>
          <w:bCs/>
          <w:color w:val="000000"/>
          <w:sz w:val="20"/>
          <w:szCs w:val="20"/>
        </w:rPr>
        <w:t xml:space="preserve">Streitanhängigkeit</w:t>
      </w:r>
      <w:r>
        <w:rPr>
          <w:rFonts w:ascii="Arial" w:hAnsi="Arial" w:eastAsia="Arial" w:cs="Arial"/>
          <w:color w:val="000000"/>
          <w:sz w:val="20"/>
          <w:szCs w:val="20"/>
        </w:rPr>
        <w:t xml:space="preserve">. Es besteht daher auch in
Ansehung des ein und dasselbe Rechtsverhältnis betreffenden
positiven Feststellungsantrages einer Partei und des negativen
Feststellungsantrages der anderen Partei Streitanhängigkeit, welche
die Einbringung des später gestellten Feststellungsantrages
unzulässig macht (RIS-Justiz RS0039295).</w:t>
      </w:r>
    </w:p>
    <w:p>
      <w:pPr>
        <w:widowControl w:val="on"/>
        <w:pBdr/>
        <w:spacing w:before="140" w:after="240" w:line="288" w:lineRule="auto"/>
        <w:ind w:left="0" w:right="0"/>
        <w:jc w:val="left"/>
      </w:pPr>
      <w:r>
        <w:rPr>
          <w:rFonts w:ascii="Arial" w:hAnsi="Arial" w:eastAsia="Arial" w:cs="Arial"/>
          <w:color w:val="000000"/>
          <w:sz w:val="20"/>
          <w:szCs w:val="20"/>
        </w:rPr>
        <w:t xml:space="preserve">Ein bedingter Zwischenantrag ist unzulässig (RIS-Justiz
RS0039591).</w:t>
      </w:r>
    </w:p>
    <w:p>
      <w:pPr>
        <w:widowControl w:val="on"/>
        <w:pBdr/>
        <w:spacing w:before="140" w:after="240" w:line="288" w:lineRule="auto"/>
        <w:ind w:left="0" w:right="0"/>
        <w:jc w:val="left"/>
      </w:pPr>
      <w:r>
        <w:rPr>
          <w:rFonts w:ascii="Arial" w:hAnsi="Arial" w:eastAsia="Arial" w:cs="Arial"/>
          <w:b/>
          <w:bCs/>
          <w:color w:val="000000"/>
          <w:sz w:val="20"/>
          <w:szCs w:val="20"/>
        </w:rPr>
        <w:t xml:space="preserve">18</w:t>
      </w:r>
      <w:r>
        <w:rPr>
          <w:rFonts w:ascii="Arial" w:hAnsi="Arial" w:eastAsia="Arial" w:cs="Arial"/>
          <w:color w:val="000000"/>
          <w:sz w:val="20"/>
          <w:szCs w:val="20"/>
        </w:rPr>
        <w:br/>
        <w:t xml:space="preserve">Wenn aufgrund eines Zwischenfeststellungsantrages sachlich über den
Bestand des Rechtes oder Rechtsverhältnisses erkannt wird, hat dies
gem § 236 Abs 1 ZPO durch </w:t>
      </w:r>
      <w:r>
        <w:rPr>
          <w:rFonts w:ascii="Arial" w:hAnsi="Arial" w:eastAsia="Arial" w:cs="Arial"/>
          <w:b/>
          <w:bCs/>
          <w:color w:val="000000"/>
          <w:sz w:val="20"/>
          <w:szCs w:val="20"/>
        </w:rPr>
        <w:t xml:space="preserve">Urteil</w:t>
      </w:r>
      <w:r>
        <w:rPr>
          <w:rFonts w:ascii="Arial" w:hAnsi="Arial" w:eastAsia="Arial" w:cs="Arial"/>
          <w:color w:val="000000"/>
          <w:sz w:val="20"/>
          <w:szCs w:val="20"/>
        </w:rPr>
        <w:t xml:space="preserve"> (vgl
§ 393 Abs 3 ZPO) zu erfolgen (6 Ob 138/21v). Dagegen
steht das Rechtsmittel der Berufung zu (RIS-Justiz RS0039720). Das
über einen Zwischenantrag ergehende Urteil darf nicht andere als
die im Antrage begehrten Feststellungen enthalten (RIS-Justiz
RS0039516).</w:t>
      </w:r>
    </w:p>
    <w:p>
      <w:pPr>
        <w:widowControl w:val="on"/>
        <w:pBdr/>
        <w:spacing w:before="140" w:after="240" w:line="288" w:lineRule="auto"/>
        <w:ind w:left="0" w:right="0"/>
        <w:jc w:val="left"/>
      </w:pPr>
      <w:r>
        <w:rPr>
          <w:rFonts w:ascii="Arial" w:hAnsi="Arial" w:eastAsia="Arial" w:cs="Arial"/>
          <w:color w:val="000000"/>
          <w:sz w:val="20"/>
          <w:szCs w:val="20"/>
        </w:rPr>
        <w:t xml:space="preserve">Mangels Rechtsschutzbedürfnisses (zB, weil die
Rechtskraftwirkung des Urteiles nicht über den Rechtsstreit
hinausgeht) bzw Präjudizialität ist ein Zwischenantrag auf
Feststellung aber mit </w:t>
      </w:r>
      <w:r>
        <w:rPr>
          <w:rFonts w:ascii="Arial" w:hAnsi="Arial" w:eastAsia="Arial" w:cs="Arial"/>
          <w:b/>
          <w:bCs/>
          <w:color w:val="000000"/>
          <w:sz w:val="20"/>
          <w:szCs w:val="20"/>
        </w:rPr>
        <w:t xml:space="preserve">Beschluss</w:t>
      </w:r>
      <w:r>
        <w:rPr>
          <w:rFonts w:ascii="Arial" w:hAnsi="Arial" w:eastAsia="Arial" w:cs="Arial"/>
          <w:color w:val="000000"/>
          <w:sz w:val="20"/>
          <w:szCs w:val="20"/>
        </w:rPr>
        <w:t xml:space="preserve"> zurückzuweisen und
nicht abzuweisen (2 Ob 51/01s MietSlg 53.711; RIS-Justiz RS0037989;
RS0039709). Die Unzulässigkeit eines Zwischenantrages auf
Feststellung ist also mit Beschluss auszusprechen, der auch vom
Revisionsgericht im Rahmen der zulässigen Revision von Amts wegen
zu fassen ist (RIS-Justiz RS0039548).</w:t>
      </w:r>
    </w:p>
    <w:p>
      <w:pPr>
        <w:widowControl w:val="on"/>
        <w:pBdr/>
        <w:spacing w:before="140" w:after="240" w:line="288" w:lineRule="auto"/>
        <w:ind w:left="0" w:right="0"/>
        <w:jc w:val="left"/>
      </w:pPr>
      <w:r>
        <w:rPr>
          <w:rFonts w:ascii="Arial" w:hAnsi="Arial" w:eastAsia="Arial" w:cs="Arial"/>
          <w:color w:val="000000"/>
          <w:sz w:val="20"/>
          <w:szCs w:val="20"/>
        </w:rPr>
        <w:t xml:space="preserve">Auch bei einem Zwischenantrag auf Feststellung ist es möglich,
dem Feststellungsantrag </w:t>
      </w:r>
      <w:r>
        <w:rPr>
          <w:rFonts w:ascii="Arial" w:hAnsi="Arial" w:eastAsia="Arial" w:cs="Arial"/>
          <w:b/>
          <w:bCs/>
          <w:color w:val="000000"/>
          <w:sz w:val="20"/>
          <w:szCs w:val="20"/>
        </w:rPr>
        <w:t xml:space="preserve">teilweise</w:t>
      </w:r>
      <w:r>
        <w:rPr>
          <w:rFonts w:ascii="Arial" w:hAnsi="Arial" w:eastAsia="Arial" w:cs="Arial"/>
          <w:color w:val="000000"/>
          <w:sz w:val="20"/>
          <w:szCs w:val="20"/>
        </w:rPr>
        <w:t xml:space="preserve"> stattzugeben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78).</w:t>
      </w:r>
    </w:p>
    <w:p>
      <w:pPr>
        <w:widowControl w:val="on"/>
        <w:pBdr/>
        <w:spacing w:before="140" w:after="240" w:line="288" w:lineRule="auto"/>
        <w:ind w:left="0" w:right="0"/>
        <w:jc w:val="left"/>
      </w:pPr>
      <w:r>
        <w:rPr>
          <w:rFonts w:ascii="Arial" w:hAnsi="Arial" w:eastAsia="Arial" w:cs="Arial"/>
          <w:b/>
          <w:bCs/>
          <w:color w:val="000000"/>
          <w:sz w:val="20"/>
          <w:szCs w:val="20"/>
        </w:rPr>
        <w:t xml:space="preserve">19</w:t>
      </w:r>
      <w:r>
        <w:rPr>
          <w:rFonts w:ascii="Arial" w:hAnsi="Arial" w:eastAsia="Arial" w:cs="Arial"/>
          <w:color w:val="000000"/>
          <w:sz w:val="20"/>
          <w:szCs w:val="20"/>
        </w:rPr>
        <w:br/>
        <w:t xml:space="preserve">Der gem § 236 ZPO gestellte Zwischenantrag auf Feststellung
ist ein Sachantrag, dessen Übergehung die erstinstanzliche
Entscheidung iSd § 496 Abs 1 Z 1 ZPO
ergänzungsbedürftig macht (RIS-Justiz RS0039510).</w:t>
      </w:r>
    </w:p>
    <w:p>
      <w:pPr>
        <w:widowControl w:val="on"/>
        <w:pBdr/>
        <w:spacing w:before="140" w:after="240" w:line="288" w:lineRule="auto"/>
        <w:ind w:left="0" w:right="0"/>
        <w:jc w:val="left"/>
      </w:pPr>
      <w:r>
        <w:rPr>
          <w:rFonts w:ascii="Arial" w:hAnsi="Arial" w:eastAsia="Arial" w:cs="Arial"/>
          <w:b/>
          <w:bCs/>
          <w:color w:val="000000"/>
          <w:sz w:val="20"/>
          <w:szCs w:val="20"/>
        </w:rPr>
        <w:t xml:space="preserve">20</w:t>
      </w:r>
      <w:r>
        <w:rPr>
          <w:rFonts w:ascii="Arial" w:hAnsi="Arial" w:eastAsia="Arial" w:cs="Arial"/>
          <w:color w:val="000000"/>
          <w:sz w:val="20"/>
          <w:szCs w:val="20"/>
        </w:rPr>
        <w:br/>
        <w:t xml:space="preserve">Die </w:t>
      </w:r>
      <w:r>
        <w:rPr>
          <w:rFonts w:ascii="Arial" w:hAnsi="Arial" w:eastAsia="Arial" w:cs="Arial"/>
          <w:b/>
          <w:bCs/>
          <w:color w:val="000000"/>
          <w:sz w:val="20"/>
          <w:szCs w:val="20"/>
        </w:rPr>
        <w:t xml:space="preserve">Streitwerte</w:t>
      </w:r>
      <w:r>
        <w:rPr>
          <w:rFonts w:ascii="Arial" w:hAnsi="Arial" w:eastAsia="Arial" w:cs="Arial"/>
          <w:color w:val="000000"/>
          <w:sz w:val="20"/>
          <w:szCs w:val="20"/>
        </w:rPr>
        <w:t xml:space="preserve"> der Klage und des vom Kläger oder
Beklagten gestellten Zwischenantrags auf Feststellung sind
</w:t>
      </w:r>
      <w:r>
        <w:rPr>
          <w:rFonts w:ascii="Arial" w:hAnsi="Arial" w:eastAsia="Arial" w:cs="Arial"/>
          <w:b/>
          <w:bCs/>
          <w:color w:val="000000"/>
          <w:sz w:val="20"/>
          <w:szCs w:val="20"/>
        </w:rPr>
        <w:t xml:space="preserve">zusammenzurechnen</w:t>
      </w:r>
      <w:r>
        <w:rPr>
          <w:rFonts w:ascii="Arial" w:hAnsi="Arial" w:eastAsia="Arial" w:cs="Arial"/>
          <w:color w:val="000000"/>
          <w:sz w:val="20"/>
          <w:szCs w:val="20"/>
        </w:rPr>
        <w:t xml:space="preserve"> (RIS-Justiz RS0039661).</w:t>
      </w:r>
    </w:p>
    <w:p>
      <w:pPr>
        <w:widowControl w:val="on"/>
        <w:pBdr/>
        <w:spacing w:before="140" w:after="240" w:line="288" w:lineRule="auto"/>
        <w:ind w:left="0" w:right="0"/>
        <w:jc w:val="left"/>
      </w:pPr>
      <w:r>
        <w:rPr>
          <w:rFonts w:ascii="Arial" w:hAnsi="Arial" w:eastAsia="Arial" w:cs="Arial"/>
          <w:b/>
          <w:bCs/>
          <w:color w:val="000000"/>
          <w:sz w:val="20"/>
          <w:szCs w:val="20"/>
        </w:rPr>
        <w:t xml:space="preserve">21</w:t>
      </w:r>
      <w:r>
        <w:rPr>
          <w:rFonts w:ascii="Arial" w:hAnsi="Arial" w:eastAsia="Arial" w:cs="Arial"/>
          <w:color w:val="000000"/>
          <w:sz w:val="20"/>
          <w:szCs w:val="20"/>
        </w:rPr>
        <w:br/>
        <w:t xml:space="preserve">Die Zurückweisung eines Zwischenantragsist mit Rekurs zu
</w:t>
      </w:r>
      <w:r>
        <w:rPr>
          <w:rFonts w:ascii="Arial" w:hAnsi="Arial" w:eastAsia="Arial" w:cs="Arial"/>
          <w:b/>
          <w:bCs/>
          <w:color w:val="000000"/>
          <w:sz w:val="20"/>
          <w:szCs w:val="20"/>
        </w:rPr>
        <w:t xml:space="preserve">bekämpfen</w:t>
      </w:r>
      <w:r>
        <w:rPr>
          <w:rFonts w:ascii="Arial" w:hAnsi="Arial" w:eastAsia="Arial" w:cs="Arial"/>
          <w:color w:val="000000"/>
          <w:sz w:val="20"/>
          <w:szCs w:val="20"/>
        </w:rPr>
        <w:t xml:space="preserve"> (vgl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aaO,
§ 236 ZPO E 86). Die Bestätigung der Zurückweisung eines
Zwischenantrags auf Feststellung ist analog § 528 Abs 2
Z 2 ZPO wie die Bestätigung der Zurückweisung einer Klage aus
formellen Gründen anfechtbar (5 Ob 218/10k). Demzufolge wäre der
Revisionsrekurs zulässig, wenn die Entscheidung von der Lösung
einer erheblichen Rechtsfrage iSd § 528 Abs 1 ZPO abhängt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Die Anfechtung der Bestätigung der
Zurückweisung eines Zwischenantrags auf Feststellung ist analog
§ 528 Abs 2 Z 2 ZPO wie die Anfechtung der
Bestätigung der Zurückweisung einer Klage aus formellen Gründen
somit nicht jedenfalls unzulässig (5 Ob 212/21v Zak 2022/448 =
iFamZ 2022/191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RIS-Justiz RS0119816,
RS0118457). Die übereinstimmende Bejahung der Zulässigkeit eines
Zwischenantrages auf Feststellung durch das Erstgericht und das
Berufungsgericht enthält, auch wenn sie formell nicht in
Beschlussform zu erfolgen hat, zwei die Zulässigkeit des
Zwischenantrages auf Feststellung bejahende Beschlüsse und ist
daher vom OGH nicht mehr überprüfbar. Nur eine erstmals vom
Berufungsgericht ausgesprochene Zurückweisung eines
Zwischenantrages auf Feststellung ist mit Rekurs bekämpfbar
(RIS-Justiz RS0039492). Wenn das Berufungsgericht ein über einen
Zwischenantrag auf Feststellung ergangenes Urteil aufgehoben und
den Antrag mangels der Voraussetzungen des § 236 ZPO
zurückgewiesen hat, ist hiergegen entsprechend § 519 ZPO ein
Rekurs möglich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519 ZPO E
58).</w:t>
      </w:r>
    </w:p>
    <w:p>
      <w:pPr>
        <w:widowControl w:val="on"/>
        <w:pBdr/>
        <w:spacing w:before="140" w:after="240" w:line="288" w:lineRule="auto"/>
        <w:ind w:left="0" w:right="0"/>
        <w:jc w:val="left"/>
      </w:pPr>
      <w:r>
        <w:rPr>
          <w:rFonts w:ascii="Arial" w:hAnsi="Arial" w:eastAsia="Arial" w:cs="Arial"/>
          <w:b/>
          <w:bCs/>
          <w:color w:val="000000"/>
          <w:sz w:val="20"/>
          <w:szCs w:val="20"/>
        </w:rPr>
        <w:t xml:space="preserve">22</w:t>
      </w:r>
      <w:r>
        <w:rPr>
          <w:rFonts w:ascii="Arial" w:hAnsi="Arial" w:eastAsia="Arial" w:cs="Arial"/>
          <w:color w:val="000000"/>
          <w:sz w:val="20"/>
          <w:szCs w:val="20"/>
        </w:rPr>
        <w:br/>
        <w:t xml:space="preserve">Bei der Entscheidung über einen Zwischenantrag auf Feststellung ist
es ohne Bedeutung, ob sich der Beklagte gegen die Zulassung dieses
Antrages ausgesprochen hat (7 Ob 142/71). Der (an sich
überflüssige) Beschluss, womit der Zwischenantrag auf Feststellung
zugelassen wird, ist jedenfalls anfechtbar (RIS-Justiz RS0039751).
Der Ausspruch, dass der Zwischenantrag zugelassen wird, ist
allerdings auch nicht gesetzlich unzulässig
(</w:t>
      </w:r>
      <w:r>
        <w:rPr>
          <w:rFonts w:ascii="Arial" w:hAnsi="Arial" w:eastAsia="Arial" w:cs="Arial"/>
          <w:i/>
          <w:iCs/>
          <w:color w:val="000000"/>
          <w:sz w:val="20"/>
          <w:szCs w:val="20"/>
        </w:rPr>
        <w:t xml:space="preserve">Klauser/Kodek</w:t>
      </w:r>
      <w:r>
        <w:rPr>
          <w:rFonts w:ascii="Arial" w:hAnsi="Arial" w:eastAsia="Arial" w:cs="Arial"/>
          <w:color w:val="000000"/>
          <w:sz w:val="20"/>
          <w:szCs w:val="20"/>
        </w:rPr>
        <w:t xml:space="preserve">, JN-ZPO, § 236 ZPO E 74).</w:t>
      </w:r>
    </w:p>
    <w:p>
      <w:pPr>
        <w:widowControl w:val="on"/>
        <w:pBdr/>
        <w:spacing w:before="140" w:after="240" w:line="288" w:lineRule="auto"/>
        <w:ind w:left="0" w:right="0"/>
        <w:jc w:val="left"/>
      </w:pPr>
      <w:r>
        <w:rPr>
          <w:rFonts w:ascii="Arial" w:hAnsi="Arial" w:eastAsia="Arial" w:cs="Arial"/>
          <w:b/>
          <w:bCs/>
          <w:color w:val="000000"/>
          <w:sz w:val="20"/>
          <w:szCs w:val="20"/>
        </w:rPr>
        <w:t xml:space="preserve">23</w:t>
      </w:r>
      <w:r>
        <w:rPr>
          <w:rFonts w:ascii="Arial" w:hAnsi="Arial" w:eastAsia="Arial" w:cs="Arial"/>
          <w:b/>
          <w:bCs/>
          <w:color w:val="000000"/>
          <w:sz w:val="20"/>
          <w:szCs w:val="20"/>
        </w:rPr>
        <w:br/>
        <w:t xml:space="preserve">Zulässig</w:t>
      </w:r>
      <w:r>
        <w:rPr>
          <w:rFonts w:ascii="Arial" w:hAnsi="Arial" w:eastAsia="Arial" w:cs="Arial"/>
          <w:color w:val="000000"/>
          <w:sz w:val="20"/>
          <w:szCs w:val="20"/>
        </w:rPr>
        <w:t xml:space="preserve"> ist nach der Rsp bspw ein Zwischenantrag
auf Feststellung, dass ein Unterhaltsanspruch – und zwar auch für
eine vergangene Zeitperiode – ruht (1 Ob 17/54 SZ 27/134). Oder im
Rahmen eines arbeitsgerichtlichen Verfahrens auf Feststellung der
Höhe des aus einem Arbeitsverhältnis zu leistenden Entgelts (9 ObA
51/92 NRsp 1992/185). Die Feststellung des Mietzinsrückstands iSd
§ 33 Abs 2 und 2 MRG kann auch mit einem Zwischenantrag
auf Feststellung begehrt werden (LGZ Wien 8.91976 MietSlg 28.594).
Die Feststellung, dass der Beklagte nicht berechtigt ist, in der
strittigen Teilfläche Eigentumshandlungen vorzunehmen, verneint das
Eigentum des Beklagten, besagt aber noch nicht, dass der Kläger
Eigentümer dieser Fläche ist. Der Entscheidung über den
Zwischenantrag auf Feststellung des Eigentumsrechtes kommt daher
eine über das Klagebegehren hinausreichende Rechtskraftwirkung zu
(RIS-Justiz RS0039670).</w:t>
      </w:r>
    </w:p>
    <w:p>
      <w:pPr>
        <w:widowControl w:val="on"/>
        <w:pBdr/>
        <w:spacing w:before="140" w:after="240" w:line="288" w:lineRule="auto"/>
        <w:ind w:left="0" w:right="0"/>
        <w:jc w:val="left"/>
      </w:pPr>
      <w:r>
        <w:rPr>
          <w:rFonts w:ascii="Arial" w:hAnsi="Arial" w:eastAsia="Arial" w:cs="Arial"/>
          <w:b/>
          <w:bCs/>
          <w:color w:val="000000"/>
          <w:sz w:val="20"/>
          <w:szCs w:val="20"/>
        </w:rPr>
        <w:t xml:space="preserve">24</w:t>
      </w:r>
      <w:r>
        <w:rPr>
          <w:rFonts w:ascii="Arial" w:hAnsi="Arial" w:eastAsia="Arial" w:cs="Arial"/>
          <w:color w:val="000000"/>
          <w:sz w:val="20"/>
          <w:szCs w:val="20"/>
        </w:rPr>
        <w:br/>
        <w:t xml:space="preserve">Ein </w:t>
      </w:r>
      <w:r>
        <w:rPr>
          <w:rFonts w:ascii="Arial" w:hAnsi="Arial" w:eastAsia="Arial" w:cs="Arial"/>
          <w:b/>
          <w:bCs/>
          <w:color w:val="000000"/>
          <w:sz w:val="20"/>
          <w:szCs w:val="20"/>
        </w:rPr>
        <w:t xml:space="preserve">Rechnungslegungsbegehren</w:t>
      </w:r>
      <w:r>
        <w:rPr>
          <w:rFonts w:ascii="Arial" w:hAnsi="Arial" w:eastAsia="Arial" w:cs="Arial"/>
          <w:color w:val="000000"/>
          <w:sz w:val="20"/>
          <w:szCs w:val="20"/>
        </w:rPr>
        <w:t xml:space="preserve"> nach Art XLII
EGZPO kann aber </w:t>
      </w:r>
      <w:r>
        <w:rPr>
          <w:rFonts w:ascii="Arial" w:hAnsi="Arial" w:eastAsia="Arial" w:cs="Arial"/>
          <w:b/>
          <w:bCs/>
          <w:color w:val="000000"/>
          <w:sz w:val="20"/>
          <w:szCs w:val="20"/>
        </w:rPr>
        <w:t xml:space="preserve">nicht</w:t>
      </w:r>
      <w:r>
        <w:rPr>
          <w:rFonts w:ascii="Arial" w:hAnsi="Arial" w:eastAsia="Arial" w:cs="Arial"/>
          <w:color w:val="000000"/>
          <w:sz w:val="20"/>
          <w:szCs w:val="20"/>
        </w:rPr>
        <w:t xml:space="preserve"> Gegenstand eines
Zwischenantrages sein (LGZ Wien 26.1.1965 MietSlg 17.776). Bei
einer Klage auf Rechnungslegung ist umgekehrt aber ein
Zwischenantrag auf Feststellung zur Feststellung des
Eigentumsrechts an einer Vermögensmasse zulässig (RIS-Justiz
RS0035136).</w:t>
      </w:r>
    </w:p>
    <w:p>
      <w:pPr>
        <w:widowControl w:val="on"/>
        <w:pBdr/>
        <w:spacing w:before="140" w:after="240" w:line="288" w:lineRule="auto"/>
        <w:ind w:left="0" w:right="0"/>
        <w:jc w:val="left"/>
      </w:pPr>
      <w:r>
        <w:rPr>
          <w:rFonts w:ascii="Arial" w:hAnsi="Arial" w:eastAsia="Arial" w:cs="Arial"/>
          <w:color w:val="000000"/>
          <w:sz w:val="20"/>
          <w:szCs w:val="20"/>
        </w:rPr>
        <w:t xml:space="preserve">Unzulässig ist auch, Vorfragen, von denen lediglich die
Aktivlegitimation des Klägers in einem bestimmten Rechtsstreit
abhängig ist, vorerst durch Zwischenantrag festzustellen, sondern
es ist darüber im Urteil selbst mit dem Begehren zu entscheiden
(RIS-Justiz RS0039484).</w:t>
      </w:r>
    </w:p>
    <w:p>
      <w:pPr>
        <w:widowControl w:val="on"/>
        <w:pBdr/>
        <w:spacing w:before="140" w:after="240" w:line="288" w:lineRule="auto"/>
        <w:ind w:left="0" w:right="0"/>
        <w:jc w:val="left"/>
      </w:pPr>
      <w:r>
        <w:rPr>
          <w:rFonts w:ascii="Arial" w:hAnsi="Arial" w:eastAsia="Arial" w:cs="Arial"/>
          <w:b/>
          <w:bCs/>
          <w:color w:val="000000"/>
          <w:sz w:val="20"/>
          <w:szCs w:val="20"/>
        </w:rPr>
        <w:t xml:space="preserve">25</w:t>
      </w:r>
      <w:r>
        <w:rPr>
          <w:rFonts w:ascii="Arial" w:hAnsi="Arial" w:eastAsia="Arial" w:cs="Arial"/>
          <w:color w:val="000000"/>
          <w:sz w:val="20"/>
          <w:szCs w:val="20"/>
        </w:rPr>
        <w:br/>
        <w:t xml:space="preserve">Materiellrechtlich kann der im Muster behandelte
</w:t>
      </w:r>
      <w:r>
        <w:rPr>
          <w:rFonts w:ascii="Arial" w:hAnsi="Arial" w:eastAsia="Arial" w:cs="Arial"/>
          <w:b/>
          <w:bCs/>
          <w:color w:val="000000"/>
          <w:sz w:val="20"/>
          <w:szCs w:val="20"/>
        </w:rPr>
        <w:t xml:space="preserve">Ehegattenunterhalt gem § 94 ABGB</w:t>
      </w:r>
      <w:r>
        <w:rPr>
          <w:rFonts w:ascii="Arial" w:hAnsi="Arial" w:eastAsia="Arial" w:cs="Arial"/>
          <w:color w:val="000000"/>
          <w:sz w:val="20"/>
          <w:szCs w:val="20"/>
        </w:rPr>
        <w:t xml:space="preserve"> auch durch
Vertrag geregelt werden die Bestimmungen des § 94 Abs 1
und 2 ABGB sind insoweit </w:t>
      </w:r>
      <w:r>
        <w:rPr>
          <w:rFonts w:ascii="Arial" w:hAnsi="Arial" w:eastAsia="Arial" w:cs="Arial"/>
          <w:b/>
          <w:bCs/>
          <w:color w:val="000000"/>
          <w:sz w:val="20"/>
          <w:szCs w:val="20"/>
        </w:rPr>
        <w:t xml:space="preserve">dispositiv</w:t>
      </w:r>
      <w:r>
        <w:rPr>
          <w:rFonts w:ascii="Arial" w:hAnsi="Arial" w:eastAsia="Arial" w:cs="Arial"/>
          <w:color w:val="000000"/>
          <w:sz w:val="20"/>
          <w:szCs w:val="20"/>
        </w:rPr>
        <w:t xml:space="preserve">, wobei sich
Grenzen durch das </w:t>
      </w:r>
      <w:r>
        <w:rPr>
          <w:rFonts w:ascii="Arial" w:hAnsi="Arial" w:eastAsia="Arial" w:cs="Arial"/>
          <w:b/>
          <w:bCs/>
          <w:color w:val="000000"/>
          <w:sz w:val="20"/>
          <w:szCs w:val="20"/>
        </w:rPr>
        <w:t xml:space="preserve">Anspruchsverzichtsverbot</w:t>
      </w:r>
      <w:r>
        <w:rPr>
          <w:rFonts w:ascii="Arial" w:hAnsi="Arial" w:eastAsia="Arial" w:cs="Arial"/>
          <w:color w:val="000000"/>
          <w:sz w:val="20"/>
          <w:szCs w:val="20"/>
        </w:rPr>
        <w:t xml:space="preserve">
entsprechend § 94 Abs 3 ABGB sowie durch die
</w:t>
      </w:r>
      <w:r>
        <w:rPr>
          <w:rFonts w:ascii="Arial" w:hAnsi="Arial" w:eastAsia="Arial" w:cs="Arial"/>
          <w:b/>
          <w:bCs/>
          <w:color w:val="000000"/>
          <w:sz w:val="20"/>
          <w:szCs w:val="20"/>
        </w:rPr>
        <w:t xml:space="preserve">Sittenwidrigkeit</w:t>
      </w:r>
      <w:r>
        <w:rPr>
          <w:rFonts w:ascii="Arial" w:hAnsi="Arial" w:eastAsia="Arial" w:cs="Arial"/>
          <w:color w:val="000000"/>
          <w:sz w:val="20"/>
          <w:szCs w:val="20"/>
        </w:rPr>
        <w:t xml:space="preserve"> (§ 879 ABGB) ergeben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Unterhaltsrecht, 2019, 266).</w:t>
      </w:r>
    </w:p>
    <w:p>
      <w:pPr>
        <w:widowControl w:val="on"/>
        <w:pBdr/>
        <w:spacing w:before="140" w:after="240" w:line="288" w:lineRule="auto"/>
        <w:ind w:left="0" w:right="0"/>
        <w:jc w:val="left"/>
      </w:pPr>
      <w:r>
        <w:rPr>
          <w:rFonts w:ascii="Arial" w:hAnsi="Arial" w:eastAsia="Arial" w:cs="Arial"/>
          <w:b/>
          <w:bCs/>
          <w:color w:val="000000"/>
          <w:sz w:val="20"/>
          <w:szCs w:val="20"/>
        </w:rPr>
        <w:t xml:space="preserve">26</w:t>
      </w:r>
      <w:r>
        <w:rPr>
          <w:rFonts w:ascii="Arial" w:hAnsi="Arial" w:eastAsia="Arial" w:cs="Arial"/>
          <w:color w:val="000000"/>
          <w:sz w:val="20"/>
          <w:szCs w:val="20"/>
        </w:rPr>
        <w:br/>
        <w:t xml:space="preserve">Für die </w:t>
      </w:r>
      <w:r>
        <w:rPr>
          <w:rFonts w:ascii="Arial" w:hAnsi="Arial" w:eastAsia="Arial" w:cs="Arial"/>
          <w:b/>
          <w:bCs/>
          <w:color w:val="000000"/>
          <w:sz w:val="20"/>
          <w:szCs w:val="20"/>
        </w:rPr>
        <w:t xml:space="preserve">Vergangenheit</w:t>
      </w:r>
      <w:r>
        <w:rPr>
          <w:rFonts w:ascii="Arial" w:hAnsi="Arial" w:eastAsia="Arial" w:cs="Arial"/>
          <w:color w:val="000000"/>
          <w:sz w:val="20"/>
          <w:szCs w:val="20"/>
        </w:rPr>
        <w:t xml:space="preserve"> kann auf Unterhalt zwar
grundsätzlich </w:t>
      </w:r>
      <w:r>
        <w:rPr>
          <w:rFonts w:ascii="Arial" w:hAnsi="Arial" w:eastAsia="Arial" w:cs="Arial"/>
          <w:b/>
          <w:bCs/>
          <w:color w:val="000000"/>
          <w:sz w:val="20"/>
          <w:szCs w:val="20"/>
        </w:rPr>
        <w:t xml:space="preserve">unbeschränkt verzichtet</w:t>
      </w:r>
      <w:r>
        <w:rPr>
          <w:rFonts w:ascii="Arial" w:hAnsi="Arial" w:eastAsia="Arial" w:cs="Arial"/>
          <w:color w:val="000000"/>
          <w:sz w:val="20"/>
          <w:szCs w:val="20"/>
        </w:rPr>
        <w:t xml:space="preserve"> werden
(RIS-Justiz RS0009739); gem § 94 Abs 3 S 2 ABGB kann
auf den Unterhaltsanspruch während aufrechter Ehe an sich aber
nicht im Vorhinein verzichtet werden.</w:t>
      </w:r>
    </w:p>
    <w:p>
      <w:pPr>
        <w:widowControl w:val="on"/>
        <w:pBdr/>
        <w:spacing w:before="140" w:after="240" w:line="288" w:lineRule="auto"/>
        <w:ind w:left="0" w:right="0"/>
        <w:jc w:val="left"/>
      </w:pPr>
      <w:r>
        <w:rPr>
          <w:rFonts w:ascii="Arial" w:hAnsi="Arial" w:eastAsia="Arial" w:cs="Arial"/>
          <w:color w:val="000000"/>
          <w:sz w:val="20"/>
          <w:szCs w:val="20"/>
        </w:rPr>
        <w:t xml:space="preserve">Zulässig wird von der Rsp jedoch ein nur umfänglich beschränkter
Verzicht auf zukünftigen Unterhalt, nämlich ein Verzicht auf
(konkretisierte oder konkretisierbare) </w:t>
      </w:r>
      <w:r>
        <w:rPr>
          <w:rFonts w:ascii="Arial" w:hAnsi="Arial" w:eastAsia="Arial" w:cs="Arial"/>
          <w:b/>
          <w:bCs/>
          <w:color w:val="000000"/>
          <w:sz w:val="20"/>
          <w:szCs w:val="20"/>
        </w:rPr>
        <w:t xml:space="preserve">zukünftige Einzel-
oder Teilleistungen</w:t>
      </w:r>
      <w:r>
        <w:rPr>
          <w:rFonts w:ascii="Arial" w:hAnsi="Arial" w:eastAsia="Arial" w:cs="Arial"/>
          <w:color w:val="000000"/>
          <w:sz w:val="20"/>
          <w:szCs w:val="20"/>
        </w:rPr>
        <w:t xml:space="preserve"> des Unterhaltes erachtet (vgl
RIS-Justiz RS0111120).</w:t>
      </w:r>
    </w:p>
    <w:p>
      <w:pPr>
        <w:widowControl w:val="on"/>
        <w:pBdr/>
        <w:spacing w:before="140" w:after="240" w:line="288" w:lineRule="auto"/>
        <w:ind w:left="0" w:right="0"/>
        <w:jc w:val="left"/>
      </w:pPr>
      <w:r>
        <w:rPr>
          <w:rFonts w:ascii="Arial" w:hAnsi="Arial" w:eastAsia="Arial" w:cs="Arial"/>
          <w:color w:val="000000"/>
          <w:sz w:val="20"/>
          <w:szCs w:val="20"/>
        </w:rPr>
        <w:t xml:space="preserve">Grenze eines solchen Verzichts für die Zukunft ist der
</w:t>
      </w:r>
      <w:r>
        <w:rPr>
          <w:rFonts w:ascii="Arial" w:hAnsi="Arial" w:eastAsia="Arial" w:cs="Arial"/>
          <w:b/>
          <w:bCs/>
          <w:color w:val="000000"/>
          <w:sz w:val="20"/>
          <w:szCs w:val="20"/>
        </w:rPr>
        <w:t xml:space="preserve">notwendige Unterhalt</w:t>
      </w:r>
      <w:r>
        <w:rPr>
          <w:rFonts w:ascii="Arial" w:hAnsi="Arial" w:eastAsia="Arial" w:cs="Arial"/>
          <w:color w:val="000000"/>
          <w:sz w:val="20"/>
          <w:szCs w:val="20"/>
        </w:rPr>
        <w:t xml:space="preserve"> (EFSlg 133.531), er muss –
auch durch eigene Einkünfte – jedenfalls gesichert sein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Eherecht, § 94 ABGB Rz 45).</w:t>
      </w:r>
    </w:p>
    <w:p>
      <w:pPr>
        <w:widowControl w:val="on"/>
        <w:pBdr/>
        <w:spacing w:before="140" w:after="240" w:line="288" w:lineRule="auto"/>
        <w:ind w:left="0" w:right="0"/>
        <w:jc w:val="left"/>
      </w:pPr>
      <w:r>
        <w:rPr>
          <w:rFonts w:ascii="Arial" w:hAnsi="Arial" w:eastAsia="Arial" w:cs="Arial"/>
          <w:b/>
          <w:bCs/>
          <w:color w:val="000000"/>
          <w:sz w:val="20"/>
          <w:szCs w:val="20"/>
        </w:rPr>
        <w:t xml:space="preserve">27</w:t>
      </w:r>
      <w:r>
        <w:rPr>
          <w:rFonts w:ascii="Arial" w:hAnsi="Arial" w:eastAsia="Arial" w:cs="Arial"/>
          <w:color w:val="000000"/>
          <w:sz w:val="20"/>
          <w:szCs w:val="20"/>
        </w:rPr>
        <w:br/>
        <w:t xml:space="preserve">IdS beläuft sich der notwendige Unterhalt in etwa auf die Höhe des
</w:t>
      </w:r>
      <w:r>
        <w:rPr>
          <w:rFonts w:ascii="Arial" w:hAnsi="Arial" w:eastAsia="Arial" w:cs="Arial"/>
          <w:b/>
          <w:bCs/>
          <w:color w:val="000000"/>
          <w:sz w:val="20"/>
          <w:szCs w:val="20"/>
        </w:rPr>
        <w:t xml:space="preserve">Ausgleichszulagenrichtsatzes</w:t>
      </w:r>
      <w:r>
        <w:rPr>
          <w:rFonts w:ascii="Arial" w:hAnsi="Arial" w:eastAsia="Arial" w:cs="Arial"/>
          <w:color w:val="000000"/>
          <w:sz w:val="20"/>
          <w:szCs w:val="20"/>
        </w:rPr>
        <w:t xml:space="preserve"> gem § 293
Abs 1 lit a sublit bb ASVG (vgl 4 Ob 84/13a) (vgl dazu
auch </w:t>
      </w:r>
      <w:hyperlink r:id="rId81216acf48e6bb01c" w:history="1">
        <w:r>
          <w:rPr>
            <w:rFonts w:ascii="Arial" w:hAnsi="Arial" w:eastAsia="Arial" w:cs="Arial"/>
            <w:color w:val="006BB6"/>
            <w:sz w:val="20"/>
            <w:szCs w:val="20"/>
          </w:rPr>
          <w:t xml:space="preserve">http://www.jugendwohlfahrt.at/rs_ausglzul.php</w:t>
        </w:r>
      </w:hyperlink>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b/>
          <w:bCs/>
          <w:color w:val="000000"/>
          <w:sz w:val="20"/>
          <w:szCs w:val="20"/>
        </w:rPr>
        <w:t xml:space="preserve">28</w:t>
      </w:r>
      <w:r>
        <w:rPr>
          <w:rFonts w:ascii="Arial" w:hAnsi="Arial" w:eastAsia="Arial" w:cs="Arial"/>
          <w:color w:val="000000"/>
          <w:sz w:val="20"/>
          <w:szCs w:val="20"/>
        </w:rPr>
        <w:br/>
        <w:t xml:space="preserve">Nach Auflösung der häuslichen Gemeinschaft kann ein Ehegatte auf
Unterhalt verzichten, wenn er erwerbsfähig ist oder sonst für den
notwendigen Unterhalt gesorgt ist (</w:t>
      </w:r>
      <w:r>
        <w:rPr>
          <w:rFonts w:ascii="Arial" w:hAnsi="Arial" w:eastAsia="Arial" w:cs="Arial"/>
          <w:i/>
          <w:iCs/>
          <w:color w:val="000000"/>
          <w:sz w:val="20"/>
          <w:szCs w:val="20"/>
        </w:rPr>
        <w:t xml:space="preserve">Hopf/Kathrein</w:t>
      </w:r>
      <w:r>
        <w:rPr>
          <w:rFonts w:ascii="Arial" w:hAnsi="Arial" w:eastAsia="Arial" w:cs="Arial"/>
          <w:color w:val="000000"/>
          <w:sz w:val="20"/>
          <w:szCs w:val="20"/>
        </w:rPr>
        <w:t xml:space="preserve">, aaO,
§ 94 ABGB Rz 45).</w:t>
      </w:r>
    </w:p>
    <w:p>
      <w:pPr>
        <w:widowControl w:val="on"/>
        <w:pBdr/>
        <w:spacing w:before="140" w:after="240" w:line="288" w:lineRule="auto"/>
        <w:ind w:left="0" w:right="0"/>
        <w:jc w:val="left"/>
      </w:pPr>
      <w:r>
        <w:rPr>
          <w:rFonts w:ascii="Arial" w:hAnsi="Arial" w:eastAsia="Arial" w:cs="Arial"/>
          <w:color w:val="000000"/>
          <w:sz w:val="20"/>
          <w:szCs w:val="20"/>
        </w:rPr>
        <w:t xml:space="preserve">Unterhaltsvereinbarungen zwischen Ehegatten sind </w:t>
      </w:r>
      <w:r>
        <w:rPr>
          <w:rFonts w:ascii="Arial" w:hAnsi="Arial" w:eastAsia="Arial" w:cs="Arial"/>
          <w:b/>
          <w:bCs/>
          <w:color w:val="000000"/>
          <w:sz w:val="20"/>
          <w:szCs w:val="20"/>
        </w:rPr>
        <w:t xml:space="preserve">nicht
formpflichtig</w:t>
      </w:r>
      <w:r>
        <w:rPr>
          <w:rFonts w:ascii="Arial" w:hAnsi="Arial" w:eastAsia="Arial" w:cs="Arial"/>
          <w:color w:val="000000"/>
          <w:sz w:val="20"/>
          <w:szCs w:val="20"/>
        </w:rPr>
        <w:t xml:space="preserve">. Die vertragliche Regelung kann ausdrücklich
oder auch stillschweigend erfolgen (7 Ob 179/11s).
Verzichtserklärungen sind aber an sich eng auszulegen. Ist ein
Verzicht auf zukünftigen Unterhalt nicht eindeutig terminisiert, so
ist Widerruflichkeit anzunehmen. Ein schlüssiger Verzicht ist zu
bejahen, wenn und soweit er sich aus den Umständen des konkreten
Falles absolut zweifelsfrei ergibt (RIS-Justiz RS0111120).</w:t>
      </w:r>
    </w:p>
    <w:p>
      <w:pPr>
        <w:widowControl w:val="on"/>
        <w:pBdr/>
        <w:spacing w:before="140" w:after="240" w:line="288" w:lineRule="auto"/>
        <w:ind w:left="0" w:right="0"/>
        <w:jc w:val="left"/>
      </w:pPr>
      <w:r>
        <w:rPr>
          <w:rFonts w:ascii="Arial" w:hAnsi="Arial" w:eastAsia="Arial" w:cs="Arial"/>
          <w:b/>
          <w:bCs/>
          <w:color w:val="000000"/>
          <w:sz w:val="20"/>
          <w:szCs w:val="20"/>
        </w:rPr>
        <w:t xml:space="preserve">29</w:t>
      </w:r>
      <w:r>
        <w:rPr>
          <w:rFonts w:ascii="Arial" w:hAnsi="Arial" w:eastAsia="Arial" w:cs="Arial"/>
          <w:color w:val="000000"/>
          <w:sz w:val="20"/>
          <w:szCs w:val="20"/>
        </w:rPr>
        <w:br/>
        <w:t xml:space="preserve">Nach ganz hA sind Unterhaltsvereinbarungen grundsätzlich stets
unter der </w:t>
      </w:r>
      <w:r>
        <w:rPr>
          <w:rFonts w:ascii="Arial" w:hAnsi="Arial" w:eastAsia="Arial" w:cs="Arial"/>
          <w:b/>
          <w:bCs/>
          <w:color w:val="000000"/>
          <w:sz w:val="20"/>
          <w:szCs w:val="20"/>
        </w:rPr>
        <w:t xml:space="preserve">Umstandsklausel</w:t>
      </w:r>
      <w:r>
        <w:rPr>
          <w:rFonts w:ascii="Arial" w:hAnsi="Arial" w:eastAsia="Arial" w:cs="Arial"/>
          <w:color w:val="000000"/>
          <w:sz w:val="20"/>
          <w:szCs w:val="20"/>
        </w:rPr>
        <w:t xml:space="preserve"> geschlossen (clausula
rebus sic stantibus), stehen also an sich unter einem Vorbehalt
einer Änderung wesentlicher, maßgeblicher Umstände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aaO, 267). Jede Unterhaltsregelung,
ob durch gerichtliche Entscheidung oder (gerichtlichen) Vergleich,
unterliegt der Umstandsklausel, sodass wesentliche Änderungen der
Verhältnisse auf Antrag zu einer Neufestsetzung des
Unterhaltsanspruchs führen (7 Ob 16/14z). Eine wesentliche Änderung
der Umstände ist jedenfalls eine solche, die über bloß unbedeutende
oder unerhebliche Veränderungen hinausgeht und sich in einer
merkbaren Unterhaltsdifferenz niederschlägt (10 Ob 59/16y). Die
</w:t>
      </w:r>
      <w:r>
        <w:rPr>
          <w:rFonts w:ascii="Arial" w:hAnsi="Arial" w:eastAsia="Arial" w:cs="Arial"/>
          <w:b/>
          <w:bCs/>
          <w:color w:val="000000"/>
          <w:sz w:val="20"/>
          <w:szCs w:val="20"/>
        </w:rPr>
        <w:t xml:space="preserve">wesentliche Änderung der Verhältnisse</w:t>
      </w:r>
      <w:r>
        <w:rPr>
          <w:rFonts w:ascii="Arial" w:hAnsi="Arial" w:eastAsia="Arial" w:cs="Arial"/>
          <w:color w:val="000000"/>
          <w:sz w:val="20"/>
          <w:szCs w:val="20"/>
        </w:rPr>
        <w:t xml:space="preserve"> hat sich auf
die Bemessungsfaktoren oder die der Bemessung zugrunde gelegten
Sachverhaltselemente zu beziehen, eine solche Änderung liegt
darüber hinaus auch bei einer Änderung der gesetzlichen Regelungen
oder bei tiefgreifenden Änderungen der Rechtsprechung vor (8 Ob
89/17x). ISd Rsp wurden etwa Einkommensänderungen um mindestens
10 % (LG Salzburg EFSlg 106.983; ua), eine Einkommensminderung
durch Pensionierung der unterhaltsberechtigten Person, eine
Leistungsfähigkeitsminderung durch zusätzliche Unterhaltspflichten
(LGZ Wien EFSlg 53.751; ua) udgl angesehen.</w:t>
      </w:r>
    </w:p>
    <w:p>
      <w:pPr>
        <w:widowControl w:val="on"/>
        <w:pBdr/>
        <w:spacing w:before="140" w:after="240" w:line="288" w:lineRule="auto"/>
        <w:ind w:left="0" w:right="0"/>
        <w:jc w:val="left"/>
      </w:pPr>
      <w:r>
        <w:rPr>
          <w:rFonts w:ascii="Arial" w:hAnsi="Arial" w:eastAsia="Arial" w:cs="Arial"/>
          <w:color w:val="000000"/>
          <w:sz w:val="20"/>
          <w:szCs w:val="20"/>
        </w:rPr>
        <w:t xml:space="preserve">Die Wirkung der Umstandsklausel nach entsprechender
Umstandsänderung hängt primär von der in der Unterhaltsvereinbarung
enthaltenen </w:t>
      </w:r>
      <w:r>
        <w:rPr>
          <w:rFonts w:ascii="Arial" w:hAnsi="Arial" w:eastAsia="Arial" w:cs="Arial"/>
          <w:b/>
          <w:bCs/>
          <w:color w:val="000000"/>
          <w:sz w:val="20"/>
          <w:szCs w:val="20"/>
        </w:rPr>
        <w:t xml:space="preserve">Parteiabsicht</w:t>
      </w:r>
      <w:r>
        <w:rPr>
          <w:rFonts w:ascii="Arial" w:hAnsi="Arial" w:eastAsia="Arial" w:cs="Arial"/>
          <w:color w:val="000000"/>
          <w:sz w:val="20"/>
          <w:szCs w:val="20"/>
        </w:rPr>
        <w:t xml:space="preserve"> ab. Es ist daher unter
Berücksichtigung der Gesamtvereinbarung und des von den Parteien
verfolgten Zwecks im Weg der ergänzenden Vertragsauslegung zu
fragen, welche Lösung redliche und vernünftige Parteien für die
geänderte Lage vereinbart hätten (</w:t>
      </w:r>
      <w:r>
        <w:rPr>
          <w:rFonts w:ascii="Arial" w:hAnsi="Arial" w:eastAsia="Arial" w:cs="Arial"/>
          <w:i/>
          <w:iCs/>
          <w:color w:val="000000"/>
          <w:sz w:val="20"/>
          <w:szCs w:val="20"/>
        </w:rPr>
        <w:t xml:space="preserve">Schwimann/Kolmasch</w:t>
      </w:r>
      <w:r>
        <w:rPr>
          <w:rFonts w:ascii="Arial" w:hAnsi="Arial" w:eastAsia="Arial" w:cs="Arial"/>
          <w:color w:val="000000"/>
          <w:sz w:val="20"/>
          <w:szCs w:val="20"/>
        </w:rPr>
        <w:t xml:space="preserve">,
Unterhaltrecht, 2019, 269; EFSlg 47.512; EFSlg 32.844; EFSlg
99.194; EFSlg 95.302).</w:t>
      </w:r>
    </w:p>
    <w:p>
      <w:pPr>
        <w:widowControl w:val="on"/>
        <w:pBdr/>
        <w:spacing w:before="140" w:after="240" w:line="288" w:lineRule="auto"/>
        <w:ind w:left="0" w:right="0"/>
        <w:jc w:val="left"/>
      </w:pPr>
      <w:r>
        <w:rPr>
          <w:rFonts w:ascii="Arial" w:hAnsi="Arial" w:eastAsia="Arial" w:cs="Arial"/>
          <w:color w:val="000000"/>
          <w:sz w:val="20"/>
          <w:szCs w:val="20"/>
        </w:rPr>
        <w:t xml:space="preserve">Auch auf die Anwendung der Umstandsklausel kann allerdings (ganz
oder teilweise) </w:t>
      </w:r>
      <w:r>
        <w:rPr>
          <w:rFonts w:ascii="Arial" w:hAnsi="Arial" w:eastAsia="Arial" w:cs="Arial"/>
          <w:b/>
          <w:bCs/>
          <w:color w:val="000000"/>
          <w:sz w:val="20"/>
          <w:szCs w:val="20"/>
        </w:rPr>
        <w:t xml:space="preserve">verzichtet</w:t>
      </w:r>
      <w:r>
        <w:rPr>
          <w:rFonts w:ascii="Arial" w:hAnsi="Arial" w:eastAsia="Arial" w:cs="Arial"/>
          <w:color w:val="000000"/>
          <w:sz w:val="20"/>
          <w:szCs w:val="20"/>
        </w:rPr>
        <w:t xml:space="preserve"> werden: Der Verzicht
auf die Umstandsklausel ist grundsätzlich zulässig und wirksam
(RIS-Justiz RS0016554). Zu beachten ist allerdings, dass das
Beharren auf diesen Verzicht unter Umständen aber sittenwidrig sein
kann, etwa dann, wenn ohne Berücksichtigung der nachfolgenden
Umstände der Unterhalt anderer Unterhaltsberechtigter gefährdet
wäre (3 Ob 106/69 EFSlg 12.049; ua) oder wenn durch ein Beharren
auf der Unterhaltsleistung dem Unterhaltspflichtigen die
Existenzgrundlage entzogen würde (RIS-Justiz RS0016554).</w:t>
      </w:r>
    </w:p>
    <w:p>
      <w:pPr>
        <w:widowControl w:val="on"/>
        <w:pBdr/>
        <w:spacing w:before="140" w:after="240" w:line="288" w:lineRule="auto"/>
        <w:ind w:left="0" w:right="0"/>
        <w:jc w:val="left"/>
      </w:pPr>
      <w:r>
        <w:rPr>
          <w:rFonts w:ascii="Arial" w:hAnsi="Arial" w:eastAsia="Arial" w:cs="Arial"/>
          <w:b/>
          <w:bCs/>
          <w:color w:val="000000"/>
          <w:sz w:val="20"/>
          <w:szCs w:val="20"/>
        </w:rPr>
        <w:t xml:space="preserve">30</w:t>
      </w:r>
      <w:r>
        <w:rPr>
          <w:rFonts w:ascii="Arial" w:hAnsi="Arial" w:eastAsia="Arial" w:cs="Arial"/>
          <w:color w:val="000000"/>
          <w:sz w:val="20"/>
          <w:szCs w:val="20"/>
        </w:rPr>
        <w:br/>
        <w:t xml:space="preserve">Im bloßen Verzicht auf Unterhalt für die Zukunft ist ein solcher
Verzicht auf die Anwendung der Umstandsklausel aber nicht zu
erblicken. Die Umstandsklausel bewirkt, dass bei wesentlicher und
dauernder Änderung der maßgeblichen Umstände – wobei neben
Sachverhaltsänderungen auch Änderungen der gesetzlichen Regelungen
oder tiefgreifende Änderungen der Rsp in Betracht kommen – eine
Anpassung verlangt werden kann (</w:t>
      </w:r>
      <w:r>
        <w:rPr>
          <w:rFonts w:ascii="Arial" w:hAnsi="Arial" w:eastAsia="Arial" w:cs="Arial"/>
          <w:i/>
          <w:iCs/>
          <w:color w:val="000000"/>
          <w:sz w:val="20"/>
          <w:szCs w:val="20"/>
        </w:rPr>
        <w:t xml:space="preserve">Smutny</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Kletečka/Schauer</w:t>
      </w:r>
      <w:r>
        <w:rPr>
          <w:rFonts w:ascii="Arial" w:hAnsi="Arial" w:eastAsia="Arial" w:cs="Arial"/>
          <w:color w:val="000000"/>
          <w:sz w:val="20"/>
          <w:szCs w:val="20"/>
        </w:rPr>
        <w:t xml:space="preserve">, ABGB-ON</w:t>
      </w:r>
      <w:r>
        <w:rPr>
          <w:rFonts w:ascii="Arial" w:hAnsi="Arial" w:eastAsia="Arial" w:cs="Arial"/>
          <w:color w:val="000000"/>
          <w:position w:val="3"/>
          <w:sz w:val="18"/>
          <w:szCs w:val="18"/>
          <w:vertAlign w:val="superscript"/>
        </w:rPr>
        <w:t xml:space="preserve">1.07</w:t>
      </w:r>
      <w:r>
        <w:rPr>
          <w:rFonts w:ascii="Arial" w:hAnsi="Arial" w:eastAsia="Arial" w:cs="Arial"/>
          <w:color w:val="000000"/>
          <w:sz w:val="20"/>
          <w:szCs w:val="20"/>
        </w:rPr>
        <w:t xml:space="preserve">, § 94 ABGB
Rz 13). Solange sich die Verhältnisse nicht ändern, bleibt die
Vereinbarung verbindlich (</w:t>
      </w:r>
      <w:r>
        <w:rPr>
          <w:rFonts w:ascii="Arial" w:hAnsi="Arial" w:eastAsia="Arial" w:cs="Arial"/>
          <w:i/>
          <w:iCs/>
          <w:color w:val="000000"/>
          <w:sz w:val="20"/>
          <w:szCs w:val="20"/>
        </w:rPr>
        <w:t xml:space="preserve">Smutny</w:t>
      </w:r>
      <w:r>
        <w:rPr>
          <w:rFonts w:ascii="Arial" w:hAnsi="Arial" w:eastAsia="Arial" w:cs="Arial"/>
          <w:color w:val="000000"/>
          <w:sz w:val="20"/>
          <w:szCs w:val="20"/>
        </w:rPr>
        <w:t xml:space="preserve">, aaO, § 94 ABGB
Rz 13).</w:t>
      </w:r>
    </w:p>
    <w:p>
      <w:pPr>
        <w:widowControl w:val="on"/>
        <w:pBdr/>
        <w:spacing w:before="140" w:after="240" w:line="288" w:lineRule="auto"/>
        <w:ind w:left="0" w:right="0"/>
        <w:jc w:val="left"/>
      </w:pPr>
      <w:r>
        <w:rPr>
          <w:rFonts w:ascii="Arial" w:hAnsi="Arial" w:eastAsia="Arial" w:cs="Arial"/>
          <w:color w:val="000000"/>
          <w:sz w:val="20"/>
          <w:szCs w:val="20"/>
        </w:rPr>
        <w:t xml:space="preserve">Die Ehegatten können darüber hinaus über die Unterhaltspflicht
für die Zeit nach der Scheidung der Ehe Vereinbarungen treffen
(§ 80 EheG). Hier ist ein gänzlicher Unterhaltsverzicht
grundsätzlich möglich, auch dieser unterliegt aber an sich der
Umstandsklausel. Der Verzicht auf die Umstandsklausel ist
grundsätzlich zulässig und wirksam; das Beharren auf diesen
Verzicht kann aber sittenwidrig sein, etwa dann, wenn ohne
Berücksichtigung der nachfolgenden Umstände der Unterhalt anderer
Unterhaltsberechtigter gefährdet wäre (3 Ob 106/69 EFSlg
12.049).</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79131">
    <w:multiLevelType w:val="hybridMultilevel"/>
    <w:lvl w:ilvl="0" w:tplc="20733777">
      <w:start w:val="1"/>
      <w:numFmt w:val="decimal"/>
      <w:lvlText w:val="%1."/>
      <w:lvlJc w:val="left"/>
      <w:pPr>
        <w:ind w:left="720" w:hanging="360"/>
      </w:pPr>
    </w:lvl>
    <w:lvl w:ilvl="1" w:tplc="20733777" w:tentative="1">
      <w:start w:val="1"/>
      <w:numFmt w:val="lowerLetter"/>
      <w:lvlText w:val="%2."/>
      <w:lvlJc w:val="left"/>
      <w:pPr>
        <w:ind w:left="1440" w:hanging="360"/>
      </w:pPr>
    </w:lvl>
    <w:lvl w:ilvl="2" w:tplc="20733777" w:tentative="1">
      <w:start w:val="1"/>
      <w:numFmt w:val="lowerRoman"/>
      <w:lvlText w:val="%3."/>
      <w:lvlJc w:val="right"/>
      <w:pPr>
        <w:ind w:left="2160" w:hanging="180"/>
      </w:pPr>
    </w:lvl>
    <w:lvl w:ilvl="3" w:tplc="20733777" w:tentative="1">
      <w:start w:val="1"/>
      <w:numFmt w:val="decimal"/>
      <w:lvlText w:val="%4."/>
      <w:lvlJc w:val="left"/>
      <w:pPr>
        <w:ind w:left="2880" w:hanging="360"/>
      </w:pPr>
    </w:lvl>
    <w:lvl w:ilvl="4" w:tplc="20733777" w:tentative="1">
      <w:start w:val="1"/>
      <w:numFmt w:val="lowerLetter"/>
      <w:lvlText w:val="%5."/>
      <w:lvlJc w:val="left"/>
      <w:pPr>
        <w:ind w:left="3600" w:hanging="360"/>
      </w:pPr>
    </w:lvl>
    <w:lvl w:ilvl="5" w:tplc="20733777" w:tentative="1">
      <w:start w:val="1"/>
      <w:numFmt w:val="lowerRoman"/>
      <w:lvlText w:val="%6."/>
      <w:lvlJc w:val="right"/>
      <w:pPr>
        <w:ind w:left="4320" w:hanging="180"/>
      </w:pPr>
    </w:lvl>
    <w:lvl w:ilvl="6" w:tplc="20733777" w:tentative="1">
      <w:start w:val="1"/>
      <w:numFmt w:val="decimal"/>
      <w:lvlText w:val="%7."/>
      <w:lvlJc w:val="left"/>
      <w:pPr>
        <w:ind w:left="5040" w:hanging="360"/>
      </w:pPr>
    </w:lvl>
    <w:lvl w:ilvl="7" w:tplc="20733777" w:tentative="1">
      <w:start w:val="1"/>
      <w:numFmt w:val="lowerLetter"/>
      <w:lvlText w:val="%8."/>
      <w:lvlJc w:val="left"/>
      <w:pPr>
        <w:ind w:left="5760" w:hanging="360"/>
      </w:pPr>
    </w:lvl>
    <w:lvl w:ilvl="8" w:tplc="20733777" w:tentative="1">
      <w:start w:val="1"/>
      <w:numFmt w:val="lowerRoman"/>
      <w:lvlText w:val="%9."/>
      <w:lvlJc w:val="right"/>
      <w:pPr>
        <w:ind w:left="6480" w:hanging="180"/>
      </w:pPr>
    </w:lvl>
  </w:abstractNum>
  <w:abstractNum w:abstractNumId="64479130">
    <w:multiLevelType w:val="hybridMultilevel"/>
    <w:lvl w:ilvl="0" w:tplc="12727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79130">
    <w:abstractNumId w:val="64479130"/>
  </w:num>
  <w:num w:numId="64479131">
    <w:abstractNumId w:val="64479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19460418" Type="http://schemas.openxmlformats.org/officeDocument/2006/relationships/numbering" Target="numbering.xml"/><Relationship Id="rId532982715" Type="http://schemas.openxmlformats.org/officeDocument/2006/relationships/comments" Target="comments.xml"/><Relationship Id="rId81216acf48e6bb01c" Type="http://schemas.openxmlformats.org/officeDocument/2006/relationships/hyperlink" Target="http://www.jugendwohlfahrt.at/rs_ausglzul.php"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