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304742" w:name="document"/>
    <w:bookmarkEnd w:id="62304742"/>
    <w:p/>
    <w:p>
      <w:pPr>
        <w:widowControl w:val="on"/>
        <w:pBdr/>
        <w:spacing w:before="0" w:after="280" w:line="240" w:lineRule="auto"/>
        <w:ind w:left="0" w:right="0"/>
        <w:jc w:val="left"/>
      </w:pPr>
      <w:r>
        <w:rPr>
          <w:rFonts w:ascii="Arial" w:hAnsi="Arial" w:eastAsia="Arial" w:cs="Arial"/>
          <w:color w:val="363A40"/>
          <w:sz w:val="24"/>
          <w:szCs w:val="24"/>
        </w:rPr>
        <w:t xml:space="preserve">Dokument-ID: 1131209 | Oliver Frohner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gerichtliche Festsetzung des Kindesunterhaltes (§
231 ABGB); Antrag auf vorläufigen Unterhalt (§ 382a EO)</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Muster umfasst einen Antrag auf erstmalige Festsetzung des
Kindesunterhaltes für zwei mj Kinder sowie einen Antrag auf
vorläufigen Unterhalt. In den Anmerkungen wird die wesentliche
Rechtslage zum Kindesunterhaltsrecht dargestellt, wobei auch
Erläuterungen zur jährlichen Valorisierung der Familienbeihilfe
sowie Fragen zur Berücksichtigung von Familienbonus und
Transferleistungen ausgeführt werden.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Mag. Oliver
Frohner</w:t>
      </w:r>
      <w:r>
        <w:rPr>
          <w:rFonts w:ascii="Arial" w:hAnsi="Arial" w:eastAsia="Arial" w:cs="Arial"/>
          <w:color w:val="000000"/>
          <w:sz w:val="20"/>
          <w:szCs w:val="20"/>
        </w:rPr>
        <w:br/>
        <w:t xml:space="preserve">Gumpendorferstraße 83/4</w:t>
      </w:r>
      <w:r>
        <w:rPr>
          <w:rFonts w:ascii="Arial" w:hAnsi="Arial" w:eastAsia="Arial" w:cs="Arial"/>
          <w:color w:val="000000"/>
          <w:sz w:val="20"/>
          <w:szCs w:val="20"/>
        </w:rPr>
        <w:br/>
        <w:t xml:space="preserve">1060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13.2.2023</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Pflegschaftssache: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mj Anton Rado, geb 16.12.2008</w:t>
            </w:r>
            <w:r>
              <w:rPr>
                <w:rFonts w:ascii="Arial" w:hAnsi="Arial" w:eastAsia="Arial" w:cs="Arial"/>
                <w:b/>
                <w:bCs/>
                <w:color w:val="000000"/>
                <w:position w:val="0"/>
                <w:sz w:val="20"/>
                <w:szCs w:val="20"/>
                <w:shd w:val="clear" w:color="auto" w:fill="FFFFFF"/>
              </w:rPr>
              <w:br/>
              <w:t xml:space="preserve">mj Anna Rado, geb 25.01.2010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Dietmar Rado, Selbständig</w:t>
            </w:r>
            <w:r>
              <w:rPr>
                <w:rFonts w:ascii="Arial" w:hAnsi="Arial" w:eastAsia="Arial" w:cs="Arial"/>
                <w:color w:val="000000"/>
                <w:position w:val="0"/>
                <w:sz w:val="20"/>
                <w:szCs w:val="20"/>
                <w:shd w:val="clear" w:color="auto" w:fill="FFFFFF"/>
              </w:rPr>
              <w:br/>
              <w:t xml:space="preserve">Leopolstraße 119/1/8, 1040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Oliver Frohner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Gumpendorfer Straße 83/4</w:t>
            </w:r>
            <w:r>
              <w:rPr>
                <w:rFonts w:ascii="Arial" w:hAnsi="Arial" w:eastAsia="Arial" w:cs="Arial"/>
                <w:color w:val="000000"/>
                <w:position w:val="0"/>
                <w:sz w:val="20"/>
                <w:szCs w:val="20"/>
                <w:shd w:val="clear" w:color="auto" w:fill="FFFFFF"/>
              </w:rPr>
              <w:br/>
              <w:t xml:space="preserve">1060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Prozess- und Geldvollmacht erteilt</w:t>
            </w:r>
            <w:r>
              <w:rPr>
                <w:rFonts w:ascii="Arial" w:hAnsi="Arial" w:eastAsia="Arial" w:cs="Arial"/>
                <w:color w:val="000000"/>
                <w:position w:val="0"/>
                <w:sz w:val="20"/>
                <w:szCs w:val="20"/>
                <w:shd w:val="clear" w:color="auto" w:fill="FFFFFF"/>
              </w:rPr>
              <w:br/>
              <w:t xml:space="preserve">Gem § 19a RAO verlangt der gefertigte Anwalt 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Daniela Rado, geb 12.03.1984, Selbständig</w:t>
            </w:r>
            <w:r>
              <w:rPr>
                <w:rFonts w:ascii="Arial" w:hAnsi="Arial" w:eastAsia="Arial" w:cs="Arial"/>
                <w:color w:val="000000"/>
                <w:position w:val="0"/>
                <w:sz w:val="20"/>
                <w:szCs w:val="20"/>
                <w:shd w:val="clear" w:color="auto" w:fill="FFFFFF"/>
              </w:rPr>
              <w:br/>
              <w:t xml:space="preserve">Leopoldstraße 119/1/5, 1040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Kindesunterhalt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Antrag auf Erlassung einer
einstweiligen Verfügung nach § 382a EO</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Oliver Frohner, Rechtsanwalt in 1060 Wien,
Gumpendorfer Straße 83/4 mit meiner rechtsfreundlichen Vertretung
beauftragt habe und ich ersuche um Kenntnisnahme sowie Zustellung
sämtlicher gerichtlicher Schriftstücke zuhanden meines
ausgewiesenen Vertreters.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1.) Die Kindesmutter und ich sind seit 07.08.2002 in nach wie
vor aufrechter Ehe miteinander verheiratet, zwischen uns ist jedoch
zur hg GZ 6 C 30/23f aufgrund der von mir eingebrachten Klage ein
Verfahren wegen Ehescheidung anhängig.</w:t>
      </w:r>
    </w:p>
    <w:p>
      <w:pPr>
        <w:widowControl w:val="on"/>
        <w:pBdr/>
        <w:spacing w:before="140" w:after="240" w:line="288" w:lineRule="auto"/>
        <w:ind w:left="0" w:right="0"/>
        <w:jc w:val="left"/>
      </w:pPr>
      <w:r>
        <w:rPr>
          <w:rFonts w:ascii="Arial" w:hAnsi="Arial" w:eastAsia="Arial" w:cs="Arial"/>
          <w:color w:val="000000"/>
          <w:sz w:val="20"/>
          <w:szCs w:val="20"/>
        </w:rPr>
        <w:t xml:space="preserve">Meiner Ehe mit der Kindesmutter entstammen zwei Kinder, der mj
Anton Rado, geb 16.12.2008, und die mj Anna Rado, geb
25.01.2010.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Hg Akt 6 C 30/23f, dessen Beischaffung ich beantrage</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2.) Nachdem in unserer Ehe aufgrund des Verhaltens der
Kindesmutter mir gegenüber schon seit langen Jahren Spannungen
aufgetreten waren, kam es im Oktober 2022 zu einer
Auseinandersetzung zwischen der Kindesmutter und mir, anlässlich
derer sie mir gegenüber auch körperlich aggressiv wurde und auf
mich einschlug.</w:t>
      </w:r>
    </w:p>
    <w:p>
      <w:pPr>
        <w:widowControl w:val="on"/>
        <w:pBdr/>
        <w:spacing w:before="140" w:after="240" w:line="288" w:lineRule="auto"/>
        <w:ind w:left="0" w:right="0"/>
        <w:jc w:val="left"/>
      </w:pPr>
      <w:r>
        <w:rPr>
          <w:rFonts w:ascii="Arial" w:hAnsi="Arial" w:eastAsia="Arial" w:cs="Arial"/>
          <w:color w:val="000000"/>
          <w:sz w:val="20"/>
          <w:szCs w:val="20"/>
        </w:rPr>
        <w:t xml:space="preserve">Angesichts dieser Geschehnisse habe ich es damals jedoch
vorgezogen, nicht mehr mit der Kindesmutter in einer Wohnung leben
zu wollen und habe – im gleichen Haus – gesondert von ihr Wohnung
genommen. (Die vormalige Ehewohnung befindet sich an der im Rubrum
angegebenen Adresse der Kindesmutter, ich verfüge allerdings wie
gleichfalls im Rubrum ersichtlich über eine weitere Wohnung im
gleichen Haus).</w:t>
      </w:r>
    </w:p>
    <w:p>
      <w:pPr>
        <w:widowControl w:val="on"/>
        <w:pBdr/>
        <w:spacing w:before="140" w:after="240" w:line="288" w:lineRule="auto"/>
        <w:ind w:left="0" w:right="0"/>
        <w:jc w:val="left"/>
      </w:pPr>
      <w:r>
        <w:rPr>
          <w:rFonts w:ascii="Arial" w:hAnsi="Arial" w:eastAsia="Arial" w:cs="Arial"/>
          <w:color w:val="000000"/>
          <w:sz w:val="20"/>
          <w:szCs w:val="20"/>
        </w:rPr>
        <w:t xml:space="preserve">Im Zuge eines weiteren Vorfalls, anlässlich dessen mir die
Kindesmutter wiederum Schläge androhte, sprach die von mir gerufene
Polizei Ende Jänner 2023 zwar keine direkte Wegweisung gegen die
Kindesmutter aus, forderte sie jedoch unmissverständlich auf, nicht
mehr in meine Wohnung zu kommen, sondern in ihrer Wohnung zu
bleiben und den weiteren Kontakt mit mir zu vermeiden.</w:t>
      </w:r>
    </w:p>
    <w:p>
      <w:pPr>
        <w:widowControl w:val="on"/>
        <w:pBdr/>
        <w:spacing w:before="140" w:after="240" w:line="288" w:lineRule="auto"/>
        <w:ind w:left="0" w:right="0"/>
        <w:jc w:val="left"/>
      </w:pPr>
      <w:r>
        <w:rPr>
          <w:rFonts w:ascii="Arial" w:hAnsi="Arial" w:eastAsia="Arial" w:cs="Arial"/>
          <w:color w:val="000000"/>
          <w:sz w:val="20"/>
          <w:szCs w:val="20"/>
        </w:rPr>
        <w:t xml:space="preserve">Da aber auch die Kinder durch das Verhalten der Kindesmutter
bereits hinreichend belastet waren, sind sie infolge dieser
Vorkommnisse zu mir gezogen und leben seither bei mir.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070"/>
        <w:gridCol w:w="10005"/>
      </w:tblGrid>
      <w:tr>
        <w:trPr>
          <w:trHeight w:val="0" w:hRule="atLeast"/>
        </w:trPr>
        <w:tc>
          <w:tcPr>
            <w:tcW w:w="207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1000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Jedenfalls seit Ende Jänner 2023 kann daher gesagt werden,
dass die ausschließliche Versorgung der Kinder durch mich erfolgt,
ich komme also nicht nur für ihre gesamte Pflege und Betreuung auf,
sondern trage auch die hierfür anfallenden Kosten zur Gänze
allein.</w:t>
      </w:r>
    </w:p>
    <w:p>
      <w:pPr>
        <w:widowControl w:val="on"/>
        <w:pBdr/>
        <w:spacing w:before="140" w:after="240" w:line="288" w:lineRule="auto"/>
        <w:ind w:left="0" w:right="0"/>
        <w:jc w:val="left"/>
      </w:pPr>
      <w:r>
        <w:rPr>
          <w:rFonts w:ascii="Arial" w:hAnsi="Arial" w:eastAsia="Arial" w:cs="Arial"/>
          <w:color w:val="000000"/>
          <w:sz w:val="20"/>
          <w:szCs w:val="20"/>
        </w:rPr>
        <w:t xml:space="preserve">Eine finanzielle Beteiligung vonseiten der Kindesmutter,
Natural- oder gar Geldunterhaltsleistungen für die Kinder gibt es
nicht.</w:t>
      </w:r>
    </w:p>
    <w:p>
      <w:pPr>
        <w:widowControl w:val="on"/>
        <w:pBdr/>
        <w:spacing w:before="140" w:after="240" w:line="288" w:lineRule="auto"/>
        <w:ind w:left="0" w:right="0"/>
        <w:jc w:val="left"/>
      </w:pPr>
      <w:r>
        <w:rPr>
          <w:rFonts w:ascii="Arial" w:hAnsi="Arial" w:eastAsia="Arial" w:cs="Arial"/>
          <w:color w:val="000000"/>
          <w:sz w:val="20"/>
          <w:szCs w:val="20"/>
        </w:rPr>
        <w:t xml:space="preserve">Nachdem sich im Rahmen des erwähnten, zwischen uns gleichfalls
anhängigen Ehescheidungsverfahrens zuletzt gezeigt hat, dass eine
Gesamteinigung, die auch eine Lösung betreffend die
Kindesunterhaltsansprüche beinhaltet hätte, zwischen uns aufgrund
der Haltung der Kindesmutter offenbar nicht zustande kommen wird,
sehe ich mich sohin nunmehr gezwungen, die Unterhaltsansprüche der
Kinder gerichtlich geltend zu machen.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950"/>
        <w:gridCol w:w="10125"/>
      </w:tblGrid>
      <w:tr>
        <w:trPr>
          <w:trHeight w:val="0" w:hRule="atLeast"/>
        </w:trPr>
        <w:tc>
          <w:tcPr>
            <w:tcW w:w="19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101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4.) Die Kindesmutter ist beruflich selbstständig tätig und
betreibt ein Kosmetikstudio im 2. Bezirk, aus welchem sie in den
vergangenen Jahren auch ein regelmäßiges laufendes Einkommen
erwirtschaften konnte.</w:t>
      </w:r>
    </w:p>
    <w:p>
      <w:pPr>
        <w:widowControl w:val="on"/>
        <w:pBdr/>
        <w:spacing w:before="140" w:after="240" w:line="288" w:lineRule="auto"/>
        <w:ind w:left="0" w:right="0"/>
        <w:jc w:val="left"/>
      </w:pPr>
      <w:r>
        <w:rPr>
          <w:rFonts w:ascii="Arial" w:hAnsi="Arial" w:eastAsia="Arial" w:cs="Arial"/>
          <w:color w:val="000000"/>
          <w:sz w:val="20"/>
          <w:szCs w:val="20"/>
        </w:rPr>
        <w:t xml:space="preserve">Über dessen genaue Höhe ist mir allerdings im Detail nichts
bekannt, da mir die Kindesmutter Informationen hierüber letztlich
immer vorenthalten hat.</w:t>
      </w:r>
    </w:p>
    <w:p>
      <w:pPr>
        <w:widowControl w:val="on"/>
        <w:pBdr/>
        <w:spacing w:before="140" w:after="240" w:line="288" w:lineRule="auto"/>
        <w:ind w:left="0" w:right="0"/>
        <w:jc w:val="left"/>
      </w:pPr>
      <w:r>
        <w:rPr>
          <w:rFonts w:ascii="Arial" w:hAnsi="Arial" w:eastAsia="Arial" w:cs="Arial"/>
          <w:color w:val="000000"/>
          <w:sz w:val="20"/>
          <w:szCs w:val="20"/>
        </w:rPr>
        <w:t xml:space="preserve">Ich gehe jedoch davon aus, dass ihr zumindest die Leistung eines
Unterhaltes im Ausmaß des jeweiligen Regelbedarfes wirtschaftlich
möglich ist bzw möglich sein müsste, behalte mir die Ausdehnung
meines Begehrens nach Vorliegen vollständiger und aussagekräftiger
Einkommensunterlagen der Kindesmutter für die letzten drei Jahre
jedoch ausdrücklich vor.</w:t>
      </w:r>
    </w:p>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stelle ich sohin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Kindesmutter, Daniela Rado, geb 12.03.1984, zu verpflichten,
zum Unterhalt des mj Anton Rado, geb 16.12.2008, für die Zeit von
01.02.2023 bis 28.02.2023 einen Betrag von EUR 500,–, sowie
beginnend mit 01.03.2023 je einen Betrag von EUR 500,– pro
Monat, sowie zum Unterhalt der mj Anna Rado, geb 25.01.2010, für
die Zeit von 01.02.2023 bis 28.02.2023 gleichfalls einen Betrag von
EUR 500,–, sowie beginnend mit 01.03.2023 je einen Betrag von
EUR 500,– pro Monat zuzüglich gestaffelter Zinsen von 4 %
pa zu bezahlen, die bis zur Rechtskraft dieses Beschlusses fällig
werdenden Beträge binnen 14 Tagen ab Rechtskraft, die künftig
fällig werdenden Beträge am Ersten eines jeden Monats im Vorhinein
jeweils zuhanden des Kindesvaters, Dietmar Rado.</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Weiters beantrage ich unter einem, die Kindesmutter nach
§ 382a EO zur Leistung eines vorläufigen Unterhaltes in Höhe
von je EUR 149,70 für den mj Anton Rado, geb 16.12.2008, und
die mj Anna Rado, geb 25.01.2010, zu verpflichten.</w:t>
      </w:r>
    </w:p>
    <w:p>
      <w:pPr>
        <w:widowControl w:val="on"/>
        <w:pBdr/>
        <w:spacing w:before="140" w:after="240" w:line="288" w:lineRule="auto"/>
        <w:ind w:left="0" w:right="0"/>
        <w:jc w:val="left"/>
      </w:pPr>
      <w:r>
        <w:rPr>
          <w:rFonts w:ascii="Arial" w:hAnsi="Arial" w:eastAsia="Arial" w:cs="Arial"/>
          <w:color w:val="000000"/>
          <w:sz w:val="20"/>
          <w:szCs w:val="20"/>
        </w:rPr>
        <w:t xml:space="preserve">Die Kindesmutter erbringt weder in Geld noch in natura
Unterhaltsleistungen für die Kinder und ist darüber hinaus auch
noch nicht titelmäßig zur Leistung von Unterhalt verpflichtet.</w:t>
      </w:r>
    </w:p>
    <w:p>
      <w:pPr>
        <w:widowControl w:val="on"/>
        <w:pBdr/>
        <w:spacing w:before="140" w:after="240" w:line="288" w:lineRule="auto"/>
        <w:ind w:left="0" w:right="0"/>
        <w:jc w:val="left"/>
      </w:pPr>
      <w:r>
        <w:rPr>
          <w:rFonts w:ascii="Arial" w:hAnsi="Arial" w:eastAsia="Arial" w:cs="Arial"/>
          <w:color w:val="000000"/>
          <w:sz w:val="20"/>
          <w:szCs w:val="20"/>
        </w:rPr>
        <w:t xml:space="preserve">Ich selbst erfülle meine Unterhaltspflicht gegenüber den Kindern
durch ihre ausschließliche Betreuung in meinem Haushalt.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Dietmar Rado</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003173" w:name="note1"/>
            <w:bookmarkEnd w:id="27003173"/>
            <w:bookmarkStart w:id="684424133384" w:name="note1"/>
            <w:r>
              <w:rPr>
                <w:rFonts w:ascii="Arial" w:hAnsi="Arial" w:eastAsia="Arial" w:cs="Arial"/>
                <w:b/>
                <w:bCs/>
                <w:color w:val="000000"/>
                <w:position w:val="0"/>
                <w:sz w:val="20"/>
                <w:szCs w:val="20"/>
              </w:rPr>
              <w:t xml:space="preserve">[1]</w:t>
            </w:r>
            <w:bookmarkEnd w:id="6844241333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Sachlich zuständig sind gem § 104a JN in Österreich die
</w:t>
            </w:r>
            <w:r>
              <w:rPr>
                <w:rFonts w:ascii="Arial" w:hAnsi="Arial" w:eastAsia="Arial" w:cs="Arial"/>
                <w:b/>
                <w:bCs/>
                <w:color w:val="000000"/>
                <w:position w:val="0"/>
                <w:sz w:val="20"/>
                <w:szCs w:val="20"/>
              </w:rPr>
              <w:t xml:space="preserve">Bezirksgerichte.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 114 Abs 1 JN</w:t>
            </w:r>
            <w:r>
              <w:rPr>
                <w:rFonts w:ascii="Arial" w:hAnsi="Arial" w:eastAsia="Arial" w:cs="Arial"/>
                <w:color w:val="000000"/>
                <w:position w:val="0"/>
                <w:sz w:val="20"/>
                <w:szCs w:val="20"/>
              </w:rPr>
              <w:t xml:space="preserve"> ist das zur
Führung der Pflegschaft für das minderjährige Kind berufene Gericht
auch zur Entscheidung über gesetzliche Unterhaltsansprüche und
sonstige dem minderjährigen Kind aus dem Verhältnis zwischen
Kindern und Eltern gesetzlich zustehende Ansprüche zuständig.
</w:t>
            </w:r>
            <w:r>
              <w:rPr>
                <w:rFonts w:ascii="Arial" w:hAnsi="Arial" w:eastAsia="Arial" w:cs="Arial"/>
                <w:b/>
                <w:bCs/>
                <w:color w:val="000000"/>
                <w:position w:val="0"/>
                <w:sz w:val="20"/>
                <w:szCs w:val="20"/>
              </w:rPr>
              <w:t xml:space="preserve">Pflegschaftsgericht</w:t>
            </w:r>
            <w:r>
              <w:rPr>
                <w:rFonts w:ascii="Arial" w:hAnsi="Arial" w:eastAsia="Arial" w:cs="Arial"/>
                <w:color w:val="000000"/>
                <w:position w:val="0"/>
                <w:sz w:val="20"/>
                <w:szCs w:val="20"/>
              </w:rPr>
              <w:t xml:space="preserve"> ist grundsätzlich das Gericht,
in dessen Sprengel der </w:t>
            </w:r>
            <w:r>
              <w:rPr>
                <w:rFonts w:ascii="Arial" w:hAnsi="Arial" w:eastAsia="Arial" w:cs="Arial"/>
                <w:b/>
                <w:bCs/>
                <w:color w:val="000000"/>
                <w:position w:val="0"/>
                <w:sz w:val="20"/>
                <w:szCs w:val="20"/>
              </w:rPr>
              <w:t xml:space="preserve">Minderjährige</w:t>
            </w:r>
            <w:r>
              <w:rPr>
                <w:rFonts w:ascii="Arial" w:hAnsi="Arial" w:eastAsia="Arial" w:cs="Arial"/>
                <w:color w:val="000000"/>
                <w:position w:val="0"/>
                <w:sz w:val="20"/>
                <w:szCs w:val="20"/>
              </w:rPr>
              <w:t xml:space="preserve"> seinen oder
die sonstige schutzberechtigte Person ihren </w:t>
            </w:r>
            <w:r>
              <w:rPr>
                <w:rFonts w:ascii="Arial" w:hAnsi="Arial" w:eastAsia="Arial" w:cs="Arial"/>
                <w:b/>
                <w:bCs/>
                <w:color w:val="000000"/>
                <w:position w:val="0"/>
                <w:sz w:val="20"/>
                <w:szCs w:val="20"/>
              </w:rPr>
              <w:t xml:space="preserve">gewöhnlichen
Aufenthalt</w:t>
            </w:r>
            <w:r>
              <w:rPr>
                <w:rFonts w:ascii="Arial" w:hAnsi="Arial" w:eastAsia="Arial" w:cs="Arial"/>
                <w:color w:val="000000"/>
                <w:position w:val="0"/>
                <w:sz w:val="20"/>
                <w:szCs w:val="20"/>
              </w:rPr>
              <w:t xml:space="preserve">, mangels eines solchen im Inland den Aufenthalt
hat (§ 109 Abs 1 JN).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gesetzliche Unterhaltsansprüche sonstiger in gerader Linie
verwandter Personen ist das Gericht zuständig, in dessen Sprengel
der Unterhaltsberechtigte seinen allgemeinen Gerichtsstand in
Streitsachen hat, mangels eines solchen im Inland das Gericht, in
dessen Sprengel der in Anspruch Genommene seinen allgemeinen
Gerichtsstand in Streitsachen hat (§ 114 Abs 2 JN).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handelt sich grundsätzlich um eine
</w:t>
            </w:r>
            <w:r>
              <w:rPr>
                <w:rFonts w:ascii="Arial" w:hAnsi="Arial" w:eastAsia="Arial" w:cs="Arial"/>
                <w:b/>
                <w:bCs/>
                <w:color w:val="000000"/>
                <w:position w:val="0"/>
                <w:sz w:val="20"/>
                <w:szCs w:val="20"/>
              </w:rPr>
              <w:t xml:space="preserve">Rechtspflegerzuständigkeit</w:t>
            </w:r>
            <w:r>
              <w:rPr>
                <w:rFonts w:ascii="Arial" w:hAnsi="Arial" w:eastAsia="Arial" w:cs="Arial"/>
                <w:color w:val="000000"/>
                <w:position w:val="0"/>
                <w:sz w:val="20"/>
                <w:szCs w:val="20"/>
              </w:rPr>
              <w:t xml:space="preserve"> (§ 19 Abs 1
RPflG), außer es kommt materiell ausländisches Recht zu Anwendung;
diesfalls bleibt die Entscheidung dem Richter vorbehalten.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602097" w:name="note2"/>
            <w:bookmarkEnd w:id="87602097"/>
            <w:bookmarkStart w:id="7869602201491" w:name="note2"/>
            <w:r>
              <w:rPr>
                <w:rFonts w:ascii="Arial" w:hAnsi="Arial" w:eastAsia="Arial" w:cs="Arial"/>
                <w:b/>
                <w:bCs/>
                <w:color w:val="000000"/>
                <w:position w:val="0"/>
                <w:sz w:val="20"/>
                <w:szCs w:val="20"/>
              </w:rPr>
              <w:t xml:space="preserve">[2]</w:t>
            </w:r>
            <w:bookmarkEnd w:id="78696022014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Über alle gesetzlichen Unterhaltsansprüche zwischen in gerader
Linie verwandten Personen, die nach dem 01.01.2005 gerichtsanhängig
gemacht wurden, ist im </w:t>
            </w:r>
            <w:r>
              <w:rPr>
                <w:rFonts w:ascii="Arial" w:hAnsi="Arial" w:eastAsia="Arial" w:cs="Arial"/>
                <w:b/>
                <w:bCs/>
                <w:color w:val="000000"/>
                <w:position w:val="0"/>
                <w:sz w:val="20"/>
                <w:szCs w:val="20"/>
              </w:rPr>
              <w:t xml:space="preserve">Verfahren außer
Streitsachen</w:t>
            </w:r>
            <w:r>
              <w:rPr>
                <w:rFonts w:ascii="Arial" w:hAnsi="Arial" w:eastAsia="Arial" w:cs="Arial"/>
                <w:color w:val="000000"/>
                <w:position w:val="0"/>
                <w:sz w:val="20"/>
                <w:szCs w:val="20"/>
              </w:rPr>
              <w:t xml:space="preserve"> zu entscheiden (RIS-Justiz RS0119814). Die
§§ 101–103 AußStrG enthalten hier ergänzende Regelungen für
die im außerstreitigen Verfahren abzuwickelnden
Unterhaltsverfahren.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101 Abs 1 AußStrG können sich die Parteien in
Verfahren über Unterhaltsansprüche zwischen Kindern und ihren
Eltern, deren Streitwert an Geld oder Geldeswert EUR 5.000,–
übersteigt, nur durch einen Rechtsanwalt vertreten lassen
</w:t>
            </w:r>
            <w:r>
              <w:rPr>
                <w:rFonts w:ascii="Arial" w:hAnsi="Arial" w:eastAsia="Arial" w:cs="Arial"/>
                <w:b/>
                <w:bCs/>
                <w:color w:val="000000"/>
                <w:position w:val="0"/>
                <w:sz w:val="20"/>
                <w:szCs w:val="20"/>
              </w:rPr>
              <w:t xml:space="preserve">(relative Anwaltspflicht)</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Vertretungspflicht ist jedoch nicht mehr – wie in der
Zivilprozessordnung – davon abhängig, dass am Sitz des Gerichtes
wenigstens zwei Rechtsanwälte ihren Sitz haben. Die Vertretung
durch </w:t>
            </w:r>
            <w:r>
              <w:rPr>
                <w:rFonts w:ascii="Arial" w:hAnsi="Arial" w:eastAsia="Arial" w:cs="Arial"/>
                <w:b/>
                <w:bCs/>
                <w:color w:val="000000"/>
                <w:position w:val="0"/>
                <w:sz w:val="20"/>
                <w:szCs w:val="20"/>
              </w:rPr>
              <w:t xml:space="preserve">Notare</w:t>
            </w:r>
            <w:r>
              <w:rPr>
                <w:rFonts w:ascii="Arial" w:hAnsi="Arial" w:eastAsia="Arial" w:cs="Arial"/>
                <w:color w:val="000000"/>
                <w:position w:val="0"/>
                <w:sz w:val="20"/>
                <w:szCs w:val="20"/>
              </w:rPr>
              <w:t xml:space="preserve"> ist – wie bisher im streitigen
Rechtsweg – nur im Rahmen des § 5 Abs 2 NO möglich
(ErläutRV 224 dB 22. GP, 72).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791130" w:name="note3"/>
            <w:bookmarkEnd w:id="81791130"/>
            <w:bookmarkStart w:id="5802908462436" w:name="note3"/>
            <w:r>
              <w:rPr>
                <w:rFonts w:ascii="Arial" w:hAnsi="Arial" w:eastAsia="Arial" w:cs="Arial"/>
                <w:b/>
                <w:bCs/>
                <w:color w:val="000000"/>
                <w:position w:val="0"/>
                <w:sz w:val="20"/>
                <w:szCs w:val="20"/>
              </w:rPr>
              <w:t xml:space="preserve">[3]</w:t>
            </w:r>
            <w:bookmarkEnd w:id="58029084624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ein Elternteil mit der </w:t>
            </w:r>
            <w:r>
              <w:rPr>
                <w:rFonts w:ascii="Arial" w:hAnsi="Arial" w:eastAsia="Arial" w:cs="Arial"/>
                <w:b/>
                <w:bCs/>
                <w:color w:val="000000"/>
                <w:position w:val="0"/>
                <w:sz w:val="20"/>
                <w:szCs w:val="20"/>
              </w:rPr>
              <w:t xml:space="preserve">alleinigen Obsorge</w:t>
            </w:r>
            <w:r>
              <w:rPr>
                <w:rFonts w:ascii="Arial" w:hAnsi="Arial" w:eastAsia="Arial" w:cs="Arial"/>
                <w:color w:val="000000"/>
                <w:position w:val="0"/>
                <w:sz w:val="20"/>
                <w:szCs w:val="20"/>
              </w:rPr>
              <w:t xml:space="preserve">
betraut, so handelt er für das minderjährige Kind. Eine
gerichtliche Genehmigung für die Geltendmachung von
Unterhaltsansprüchen ist hier nicht erforderlich. Sofern der
Unterhaltsantrag gegen den eigentlich allein obsorgeberechtigten
Elternteil richtet, liegt ein Mangel des gesetzlichen Vertretung
vor (vgl § 58 Abs 1, 2 AußStrG). Allenfalls steht die
Möglichkeit der Bestellung eines Kollisionskurators auch von Amts
wegen offen.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w:t>
            </w:r>
            <w:r>
              <w:rPr>
                <w:rFonts w:ascii="Arial" w:hAnsi="Arial" w:eastAsia="Arial" w:cs="Arial"/>
                <w:b/>
                <w:bCs/>
                <w:color w:val="000000"/>
                <w:position w:val="0"/>
                <w:sz w:val="20"/>
                <w:szCs w:val="20"/>
              </w:rPr>
              <w:t xml:space="preserve">gemeinsamen Obsorge</w:t>
            </w:r>
            <w:r>
              <w:rPr>
                <w:rFonts w:ascii="Arial" w:hAnsi="Arial" w:eastAsia="Arial" w:cs="Arial"/>
                <w:color w:val="000000"/>
                <w:position w:val="0"/>
                <w:sz w:val="20"/>
                <w:szCs w:val="20"/>
              </w:rPr>
              <w:t xml:space="preserve"> und getrennten
Lebensbereichen ist jener Elternteil in Unterhaltsangelegenheiten
vertretungsbefugt, bei dem sich das Kind hauptsächlich aufhält (LGZ
Wien EFSlg 158.893 ua). Der an sich geldunterhaltspflichtige
Elternteil ist hier kollisionsbehaftet (§ 277 Abs 2
ABGB), sodass der betreuende Elternteil insoweit die Obsorge allein
ausübt, also alleiniger Vertreter des Kindes zur Geltendmachung des
Geldunterhaltsanspruches ist (</w:t>
            </w:r>
            <w:r>
              <w:rPr>
                <w:rFonts w:ascii="Arial" w:hAnsi="Arial" w:eastAsia="Arial" w:cs="Arial"/>
                <w:i/>
                <w:iCs/>
                <w:color w:val="000000"/>
                <w:position w:val="0"/>
                <w:sz w:val="20"/>
                <w:szCs w:val="20"/>
              </w:rPr>
              <w:t xml:space="preserve">Nademleinsky</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Gitschthaler/Höllwerth</w:t>
            </w:r>
            <w:r>
              <w:rPr>
                <w:rFonts w:ascii="Arial" w:hAnsi="Arial" w:eastAsia="Arial" w:cs="Arial"/>
                <w:color w:val="000000"/>
                <w:position w:val="0"/>
                <w:sz w:val="20"/>
                <w:szCs w:val="20"/>
              </w:rPr>
              <w:t xml:space="preserve">, AußStrG, 2019, § 101 AußStrG
Rz 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w:t>
            </w:r>
            <w:r>
              <w:rPr>
                <w:rFonts w:ascii="Arial" w:hAnsi="Arial" w:eastAsia="Arial" w:cs="Arial"/>
                <w:b/>
                <w:bCs/>
                <w:color w:val="000000"/>
                <w:position w:val="0"/>
                <w:sz w:val="20"/>
                <w:szCs w:val="20"/>
              </w:rPr>
              <w:t xml:space="preserve">Kinder- und Jugendhilfeträger</w:t>
            </w:r>
            <w:r>
              <w:rPr>
                <w:rFonts w:ascii="Arial" w:hAnsi="Arial" w:eastAsia="Arial" w:cs="Arial"/>
                <w:color w:val="000000"/>
                <w:position w:val="0"/>
                <w:sz w:val="20"/>
                <w:szCs w:val="20"/>
              </w:rPr>
              <w:t xml:space="preserve"> kann den
gesetzlichen Vertreter eines Kindes bei der Wahrnehmung der Rechte
des Kindes auch in Zusammenhang mit der Geltendmachung von
Unterhaltsansprüchen des Kindes seine Hilfe anzubieten und das Kind
insoweit vertreten (§ 208 ABGB). Durch die Vertretungsbefugnis
des Kinder- und Jugendhilfeträgers wird die Vertretungsbefugnis des
sonstigen gesetzlichen Vertreters nicht eingeschränkt (§ 208
Abs 4 S 1 ABGB), jedoch gilt § 169 ABGB sinngemäß,
dh als Vertreter des Kindes gilt jener, der die </w:t>
            </w:r>
            <w:r>
              <w:rPr>
                <w:rFonts w:ascii="Arial" w:hAnsi="Arial" w:eastAsia="Arial" w:cs="Arial"/>
                <w:b/>
                <w:bCs/>
                <w:color w:val="000000"/>
                <w:position w:val="0"/>
                <w:sz w:val="20"/>
                <w:szCs w:val="20"/>
              </w:rPr>
              <w:t xml:space="preserve">erste
Verfahrenshandlung</w:t>
            </w:r>
            <w:r>
              <w:rPr>
                <w:rFonts w:ascii="Arial" w:hAnsi="Arial" w:eastAsia="Arial" w:cs="Arial"/>
                <w:color w:val="000000"/>
                <w:position w:val="0"/>
                <w:sz w:val="20"/>
                <w:szCs w:val="20"/>
              </w:rPr>
              <w:t xml:space="preserve"> setzt.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kommt auch einem mündig Minderjährigen
</w:t>
            </w:r>
            <w:r>
              <w:rPr>
                <w:rFonts w:ascii="Arial" w:hAnsi="Arial" w:eastAsia="Arial" w:cs="Arial"/>
                <w:b/>
                <w:bCs/>
                <w:color w:val="000000"/>
                <w:position w:val="0"/>
                <w:sz w:val="20"/>
                <w:szCs w:val="20"/>
              </w:rPr>
              <w:t xml:space="preserve">Kind</w:t>
            </w:r>
            <w:r>
              <w:rPr>
                <w:rFonts w:ascii="Arial" w:hAnsi="Arial" w:eastAsia="Arial" w:cs="Arial"/>
                <w:color w:val="000000"/>
                <w:position w:val="0"/>
                <w:sz w:val="20"/>
                <w:szCs w:val="20"/>
              </w:rPr>
              <w:t xml:space="preserve"> anders als in den es betreffenden Verfahren
über die Pflege und Erziehung (vgl § 104 AußStrG)
</w:t>
            </w:r>
            <w:r>
              <w:rPr>
                <w:rFonts w:ascii="Arial" w:hAnsi="Arial" w:eastAsia="Arial" w:cs="Arial"/>
                <w:b/>
                <w:bCs/>
                <w:color w:val="000000"/>
                <w:position w:val="0"/>
                <w:sz w:val="20"/>
                <w:szCs w:val="20"/>
              </w:rPr>
              <w:t xml:space="preserve">keine eigene Verfahrensfähigkeit</w:t>
            </w:r>
            <w:r>
              <w:rPr>
                <w:rFonts w:ascii="Arial" w:hAnsi="Arial" w:eastAsia="Arial" w:cs="Arial"/>
                <w:color w:val="000000"/>
                <w:position w:val="0"/>
                <w:sz w:val="20"/>
                <w:szCs w:val="20"/>
              </w:rPr>
              <w:t xml:space="preserve"> zu.</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während des Unterhaltsfestsetzungsverfahrens
</w:t>
            </w:r>
            <w:r>
              <w:rPr>
                <w:rFonts w:ascii="Arial" w:hAnsi="Arial" w:eastAsia="Arial" w:cs="Arial"/>
                <w:b/>
                <w:bCs/>
                <w:color w:val="000000"/>
                <w:position w:val="0"/>
                <w:sz w:val="20"/>
                <w:szCs w:val="20"/>
              </w:rPr>
              <w:t xml:space="preserve">volljährig gewordenes Kind</w:t>
            </w:r>
            <w:r>
              <w:rPr>
                <w:rFonts w:ascii="Arial" w:hAnsi="Arial" w:eastAsia="Arial" w:cs="Arial"/>
                <w:color w:val="000000"/>
                <w:position w:val="0"/>
                <w:sz w:val="20"/>
                <w:szCs w:val="20"/>
              </w:rPr>
              <w:t xml:space="preserve"> ist berechtigt,
selbstständig Verfahrenshandlungen zu setzen, also im
erstinstanzlichen Verfahren neue Behauptungen aufzustellen, neue
Beweismittel anzubieten, aber auch den Unterhalts- bzw
Unterhaltserhöhungsantrag rückwirkend zurückzuziehen. Ein
volljährig gewordenes Kind ist im Rahmen eines Unterhaltsverfahrens
daher stets zu befragen, ob der bisherige Antrag aufrechterhalten
werden soll oder nicht (3 Ob 46/18p EFSlg 158.892).</w:t>
            </w:r>
          </w:p>
        </w:tc>
      </w:tr>
    </w:tbl>
    <w:p/>
    <w:tbl>
      <w:tblPr>
        <w:tblStyle w:val="NormalTablePHPDOCX"/>
        <w:tblW w:w="0" w:type="auto"/>
        <w:tblInd w:w="0" w:type="auto"/>
        <w:tblBorders/>
      </w:tblPr>
      <w:tblGrid>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369458" w:name="note4"/>
            <w:bookmarkEnd w:id="92369458"/>
            <w:bookmarkStart w:id="6051883236034" w:name="note4"/>
            <w:r>
              <w:rPr>
                <w:rFonts w:ascii="Arial" w:hAnsi="Arial" w:eastAsia="Arial" w:cs="Arial"/>
                <w:b/>
                <w:bCs/>
                <w:color w:val="000000"/>
                <w:position w:val="0"/>
                <w:sz w:val="20"/>
                <w:szCs w:val="20"/>
              </w:rPr>
              <w:t xml:space="preserve">[4]</w:t>
            </w:r>
            <w:bookmarkEnd w:id="60518832360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haben die Eltern zur Deckung der ihren
Lebensverhältnissen angemessenen Bedürfnisse des Kindes unter
Berücksichtigung seiner Anlagen, Fähigkeiten, Neigungen und
Entwicklungsmöglichkeiten nach ihren Kräften anteilig beizutragen
</w:t>
            </w:r>
            <w:r>
              <w:rPr>
                <w:rFonts w:ascii="Arial" w:hAnsi="Arial" w:eastAsia="Arial" w:cs="Arial"/>
                <w:b/>
                <w:bCs/>
                <w:color w:val="000000"/>
                <w:position w:val="0"/>
                <w:sz w:val="20"/>
                <w:szCs w:val="20"/>
              </w:rPr>
              <w:t xml:space="preserve">(§ 231 ABGB)</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aufrechter Haushaltsgemeinschaft von unterhaltsberechtigtem
Kind und unterhaltspflichtigem Elternteil wird der Unterhalt
grundsätzlich als </w:t>
            </w:r>
            <w:r>
              <w:rPr>
                <w:rFonts w:ascii="Arial" w:hAnsi="Arial" w:eastAsia="Arial" w:cs="Arial"/>
                <w:b/>
                <w:bCs/>
                <w:color w:val="000000"/>
                <w:position w:val="0"/>
                <w:sz w:val="20"/>
                <w:szCs w:val="20"/>
              </w:rPr>
              <w:t xml:space="preserve">Naturalunterhalt</w:t>
            </w:r>
            <w:r>
              <w:rPr>
                <w:rFonts w:ascii="Arial" w:hAnsi="Arial" w:eastAsia="Arial" w:cs="Arial"/>
                <w:color w:val="000000"/>
                <w:position w:val="0"/>
                <w:sz w:val="20"/>
                <w:szCs w:val="20"/>
              </w:rPr>
              <w:t xml:space="preserve"> und nicht in
Geld geleistet (LGZ Wien EFSlg 156.684; ua).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die Haushaltsgemeinschaft zwischen Unterhaltspflichtigem und
Kind beendet, wird die Naturalunterhaltspflicht in eine
</w:t>
            </w:r>
            <w:r>
              <w:rPr>
                <w:rFonts w:ascii="Arial" w:hAnsi="Arial" w:eastAsia="Arial" w:cs="Arial"/>
                <w:b/>
                <w:bCs/>
                <w:color w:val="000000"/>
                <w:position w:val="0"/>
                <w:sz w:val="20"/>
                <w:szCs w:val="20"/>
              </w:rPr>
              <w:t xml:space="preserve">Geldunterhaltspflicht</w:t>
            </w:r>
            <w:r>
              <w:rPr>
                <w:rFonts w:ascii="Arial" w:hAnsi="Arial" w:eastAsia="Arial" w:cs="Arial"/>
                <w:color w:val="000000"/>
                <w:position w:val="0"/>
                <w:sz w:val="20"/>
                <w:szCs w:val="20"/>
              </w:rPr>
              <w:t xml:space="preserve"> umgewandelt (LGZ Wien EFSlg
156.686 ua).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nach wie vor betreuende Elternteil leistet diesfalls durch
die Betreuung seinen vollwertigen Unterhaltsbeitrag iSv § 231
ABGB (LGZ Wien EFSlg 156.667 ua).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elterliche Unterhaltspflicht entfällt grundsätzlich erst mit
</w:t>
            </w:r>
            <w:r>
              <w:rPr>
                <w:rFonts w:ascii="Arial" w:hAnsi="Arial" w:eastAsia="Arial" w:cs="Arial"/>
                <w:b/>
                <w:bCs/>
                <w:color w:val="000000"/>
                <w:position w:val="0"/>
                <w:sz w:val="20"/>
                <w:szCs w:val="20"/>
              </w:rPr>
              <w:t xml:space="preserve">Erreichen der Selbsterhaltungsfähigkeit</w:t>
            </w:r>
            <w:r>
              <w:rPr>
                <w:rFonts w:ascii="Arial" w:hAnsi="Arial" w:eastAsia="Arial" w:cs="Arial"/>
                <w:color w:val="000000"/>
                <w:position w:val="0"/>
                <w:sz w:val="20"/>
                <w:szCs w:val="20"/>
              </w:rPr>
              <w:t xml:space="preserve"> des Kindes
(§ 231 Abs 3 ABGB). § 231 Abs 3 ABGB normiert
in diesem Sinne, dass der Anspruch eines Kindes auf Unterhalt sich
insoweit mindert, als es eigene Einkünfte hat oder unter
Berücksichtigung seiner Lebensverhältnisse selbsterhaltungsfähig
ist; vgl zu Fragen in diesem Zusammenhang die diesbezüglich
ausführlichen Anmerkungen zum Muster eines
Unterhaltsenthebungsantrages.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Generell kann gesagt werden, dass Ansprüche auf Leistung von
Unterhalt dem Grunde und der Höhe nach einerseits vom
</w:t>
            </w:r>
            <w:r>
              <w:rPr>
                <w:rFonts w:ascii="Arial" w:hAnsi="Arial" w:eastAsia="Arial" w:cs="Arial"/>
                <w:b/>
                <w:bCs/>
                <w:color w:val="000000"/>
                <w:position w:val="0"/>
                <w:sz w:val="20"/>
                <w:szCs w:val="20"/>
              </w:rPr>
              <w:t xml:space="preserve">Bedarf</w:t>
            </w:r>
            <w:r>
              <w:rPr>
                <w:rFonts w:ascii="Arial" w:hAnsi="Arial" w:eastAsia="Arial" w:cs="Arial"/>
                <w:color w:val="000000"/>
                <w:position w:val="0"/>
                <w:sz w:val="20"/>
                <w:szCs w:val="20"/>
              </w:rPr>
              <w:t xml:space="preserve"> der unterhaltsberechtigten Person und
andererseits von der Leistungsfähigkeit der unterhaltspflichtigen
Person abhängen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Unterhaltrecht</w:t>
            </w:r>
            <w:r>
              <w:rPr>
                <w:rFonts w:ascii="Arial" w:hAnsi="Arial" w:eastAsia="Arial" w:cs="Arial"/>
                <w:color w:val="000000"/>
                <w:position w:val="3"/>
                <w:sz w:val="18"/>
                <w:szCs w:val="18"/>
                <w:vertAlign w:val="superscript"/>
              </w:rPr>
              <w:t xml:space="preserve">10</w:t>
            </w:r>
            <w:r>
              <w:rPr>
                <w:rFonts w:ascii="Arial" w:hAnsi="Arial" w:eastAsia="Arial" w:cs="Arial"/>
                <w:color w:val="000000"/>
                <w:position w:val="0"/>
                <w:sz w:val="20"/>
                <w:szCs w:val="20"/>
              </w:rPr>
              <w:t xml:space="preserve">, 2022, 6). In der Praxis wird die
Unterhaltsbemessung grundsätzlich entlang von bestimmten, vom Alter
des betreffenden unterhaltsberechtigten Kindes abhängigen
Prozentsätzen bemessen, hiervon kann allerdings je nach den
Umständen des Einzelfalles abgewichen werden. Die
Unterhaltsbemessung nach dieser sog „Prozentkomponente“ bietet
somit zwar für durchschnittliche Verhältnisse ein brauchbare
Handhabe, bei atypischer Sachlage ist jedoch eine Anpassung an die
tatsächlichen Verhältnisse erforderlich (5 Ob 168/02w).</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eine Sorgepflicht nur für ein Kind, beträgt somit der
Unterhaltssatz im Alter: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0 bis zu 6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16 %</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6 bis zu 10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18 %</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10 bis zu 15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über 15 Jahren</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22 %</w:t>
                  </w:r>
                </w:p>
              </w:tc>
            </w:tr>
          </w:tbl>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hiezu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2015, Rz 551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weitere Sorgepflicht für ein Kind unter 10 Jahren führt zu
einer Minderung des ansonsten für das jeweilig Unterhalt fordernde
Kind geltenden Prozentsatzes um 1 %. Jede weitere Sorgepflicht
für ein Kind über 10 Jahren zu einer solchen um 2 %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aaO, Rz 552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weitere Sorgepflicht gegenüber einer unterhaltsberechtigten
Ehefrau führt zu einer Reduzierung des ansonsten für das jeweilige
Unterhalt fordernde Kind geltenden Prozentsatzes um 0–3 %, und
zwar je nach Höhe deren Einkommens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aaO,
Rz 555 mwN).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 einem Kind weniger oder mehr zugesprochen werden, als sich
nach der Prozentsatzmethode ergibt, bedarf es einer besonderen
Rechtfertigung der Abweichung.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einem überdurchschnittlichen Einkommen des
Unterhaltspflichtigen ist nach ständiger Rechtsprechung der
Gerichte zweiter Instanz die Prozentkomponente allerdings nicht
voll auszuschöpfen; es sind den Kindern hier nur Unterhaltsbeträge
zuzusprechen, die zur Deckung ihrer – an den Lebensverhältnissen
des Unterhaltspflichtigen orientierten – Lebensbedürfnisse
erforderlich sind (RIS-Justiz RS0007138), dies zur Vermeidung einer
dem Kindeswohl nach Ansicht der Rsp nicht förderlichen
Überalimentierung. Diese sog </w:t>
            </w:r>
            <w:r>
              <w:rPr>
                <w:rFonts w:ascii="Arial" w:hAnsi="Arial" w:eastAsia="Arial" w:cs="Arial"/>
                <w:b/>
                <w:bCs/>
                <w:color w:val="000000"/>
                <w:position w:val="0"/>
                <w:sz w:val="20"/>
                <w:szCs w:val="20"/>
              </w:rPr>
              <w:t xml:space="preserve">„Luxusgrenze“</w:t>
            </w:r>
            <w:r>
              <w:rPr>
                <w:rFonts w:ascii="Arial" w:hAnsi="Arial" w:eastAsia="Arial" w:cs="Arial"/>
                <w:color w:val="000000"/>
                <w:position w:val="0"/>
                <w:sz w:val="20"/>
                <w:szCs w:val="20"/>
              </w:rPr>
              <w:t xml:space="preserve">, wird
von der Rsp bei Kindern bis 10 Jahren im Allgemeinen mit etwa dem
2-fachen und für Kinder ab 10 Jahren mit etwa dem 2,5-fachen des
jeweils anwendbaren Regelbedarfs bemessen (RIS-Justiz
RS0117017).</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895861" w:name="note5"/>
            <w:bookmarkEnd w:id="60895861"/>
            <w:bookmarkStart w:id="6696666389086" w:name="note5"/>
            <w:r>
              <w:rPr>
                <w:rFonts w:ascii="Arial" w:hAnsi="Arial" w:eastAsia="Arial" w:cs="Arial"/>
                <w:b/>
                <w:bCs/>
                <w:color w:val="000000"/>
                <w:position w:val="0"/>
                <w:sz w:val="20"/>
                <w:szCs w:val="20"/>
              </w:rPr>
              <w:t xml:space="preserve">[5]</w:t>
            </w:r>
            <w:bookmarkEnd w:id="66966663890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w:t>
            </w:r>
            <w:r>
              <w:rPr>
                <w:rFonts w:ascii="Arial" w:hAnsi="Arial" w:eastAsia="Arial" w:cs="Arial"/>
                <w:b/>
                <w:bCs/>
                <w:color w:val="000000"/>
                <w:position w:val="0"/>
                <w:sz w:val="20"/>
                <w:szCs w:val="20"/>
              </w:rPr>
              <w:t xml:space="preserve">Einkommen</w:t>
            </w:r>
            <w:r>
              <w:rPr>
                <w:rFonts w:ascii="Arial" w:hAnsi="Arial" w:eastAsia="Arial" w:cs="Arial"/>
                <w:color w:val="000000"/>
                <w:position w:val="0"/>
                <w:sz w:val="20"/>
                <w:szCs w:val="20"/>
              </w:rPr>
              <w:t xml:space="preserve"> im unterhaltsrechtlichen Sinne
wird grundsätzlich die Summe aller dem Unterhaltsschuldner
</w:t>
            </w:r>
            <w:r>
              <w:rPr>
                <w:rFonts w:ascii="Arial" w:hAnsi="Arial" w:eastAsia="Arial" w:cs="Arial"/>
                <w:b/>
                <w:bCs/>
                <w:color w:val="000000"/>
                <w:position w:val="0"/>
                <w:sz w:val="20"/>
                <w:szCs w:val="20"/>
              </w:rPr>
              <w:t xml:space="preserve">tatsächlich zufließenden Mittel</w:t>
            </w:r>
            <w:r>
              <w:rPr>
                <w:rFonts w:ascii="Arial" w:hAnsi="Arial" w:eastAsia="Arial" w:cs="Arial"/>
                <w:color w:val="000000"/>
                <w:position w:val="0"/>
                <w:sz w:val="20"/>
                <w:szCs w:val="20"/>
              </w:rPr>
              <w:t xml:space="preserve"> unter
Berücksichtigung unterhaltsrechtlich beachtlicher Abzüge und
Aufwendungen verstanden (RIS-Justiz RS0003799). Zur
</w:t>
            </w:r>
            <w:r>
              <w:rPr>
                <w:rFonts w:ascii="Arial" w:hAnsi="Arial" w:eastAsia="Arial" w:cs="Arial"/>
                <w:b/>
                <w:bCs/>
                <w:color w:val="000000"/>
                <w:position w:val="0"/>
                <w:sz w:val="20"/>
                <w:szCs w:val="20"/>
              </w:rPr>
              <w:t xml:space="preserve">Unterhaltsbemessungsgrundlage</w:t>
            </w:r>
            <w:r>
              <w:rPr>
                <w:rFonts w:ascii="Arial" w:hAnsi="Arial" w:eastAsia="Arial" w:cs="Arial"/>
                <w:color w:val="000000"/>
                <w:position w:val="0"/>
                <w:sz w:val="20"/>
                <w:szCs w:val="20"/>
              </w:rPr>
              <w:t xml:space="preserve"> zählen alle
tatsächlich erzielten Einnahmen des Unterhaltspflichtigen in Geld
oder geldwerten Leistungen, über die er verfügen kann (7 Ob 16/14z
EF‑Z 2014/109 = Zak 2014/275) oder die seine Bedürfnisse verringern
(4 Ob 218/08z EFSlg 122.649).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unterhaltspflichtige Person ist gegenüber der
unterhaltsberechtigten Person jedenfalls über die Höhe der
Unterhaltsbemessungsgrundlage und andere für die Höhe des
Unterhaltsanspruches maßgebliche Umstände
</w:t>
            </w:r>
            <w:r>
              <w:rPr>
                <w:rFonts w:ascii="Arial" w:hAnsi="Arial" w:eastAsia="Arial" w:cs="Arial"/>
                <w:b/>
                <w:bCs/>
                <w:color w:val="000000"/>
                <w:position w:val="0"/>
                <w:sz w:val="20"/>
                <w:szCs w:val="20"/>
              </w:rPr>
              <w:t xml:space="preserve">auskunftspflichtig</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8). Ganz generell haben gem </w:t>
            </w:r>
            <w:r>
              <w:rPr>
                <w:rFonts w:ascii="Arial" w:hAnsi="Arial" w:eastAsia="Arial" w:cs="Arial"/>
                <w:b/>
                <w:bCs/>
                <w:color w:val="000000"/>
                <w:position w:val="0"/>
                <w:sz w:val="20"/>
                <w:szCs w:val="20"/>
              </w:rPr>
              <w:t xml:space="preserve">§ 16 Abs 2
AußStrG</w:t>
            </w:r>
            <w:r>
              <w:rPr>
                <w:rFonts w:ascii="Arial" w:hAnsi="Arial" w:eastAsia="Arial" w:cs="Arial"/>
                <w:color w:val="000000"/>
                <w:position w:val="0"/>
                <w:sz w:val="20"/>
                <w:szCs w:val="20"/>
              </w:rPr>
              <w:t xml:space="preserve"> in außerstreitigen Verfahren zunächst die Parteien
des Verfahrens grundsätzlich vollständig und wahrheitsgemäß alle
ihnen bekannten, für die Entscheidung des Gerichts maßgebenden
Tatsachen und Beweise vorzubringen beziehungsweise anzubieten und
alle darauf gerichteten Fragen des Gerichts zu beantworten. Darüber
hinaus haben gem </w:t>
            </w:r>
            <w:r>
              <w:rPr>
                <w:rFonts w:ascii="Arial" w:hAnsi="Arial" w:eastAsia="Arial" w:cs="Arial"/>
                <w:b/>
                <w:bCs/>
                <w:color w:val="000000"/>
                <w:position w:val="0"/>
                <w:sz w:val="20"/>
                <w:szCs w:val="20"/>
              </w:rPr>
              <w:t xml:space="preserve">§ 102 Abs 1 AußStrG</w:t>
            </w:r>
            <w:r>
              <w:rPr>
                <w:rFonts w:ascii="Arial" w:hAnsi="Arial" w:eastAsia="Arial" w:cs="Arial"/>
                <w:color w:val="000000"/>
                <w:position w:val="0"/>
                <w:sz w:val="20"/>
                <w:szCs w:val="20"/>
              </w:rPr>
              <w:t xml:space="preserve">
neben den Parteien aber </w:t>
            </w:r>
            <w:r>
              <w:rPr>
                <w:rFonts w:ascii="Arial" w:hAnsi="Arial" w:eastAsia="Arial" w:cs="Arial"/>
                <w:b/>
                <w:bCs/>
                <w:color w:val="000000"/>
                <w:position w:val="0"/>
                <w:sz w:val="20"/>
                <w:szCs w:val="20"/>
              </w:rPr>
              <w:t xml:space="preserve">auch andere Personen</w:t>
            </w:r>
            <w:r>
              <w:rPr>
                <w:rFonts w:ascii="Arial" w:hAnsi="Arial" w:eastAsia="Arial" w:cs="Arial"/>
                <w:color w:val="000000"/>
                <w:position w:val="0"/>
                <w:sz w:val="20"/>
                <w:szCs w:val="20"/>
              </w:rPr>
              <w:t xml:space="preserve">,
deren Einkommen oder Vermögen für die Entscheidung über den
gesetzlichen Unterhalt zwischen in gerader Linie verwandten
Personen von Belang ist, dem Gericht hierüber Auskunft zu geben und
die Überprüfung von deren Richtigkeit zu ermöglichen (4 Ob 47/18t
iFamZ 2018/118). Für den Auskunftsanspruch ist es sohin
unerheblich, ob der Ersuchte „direkt“ unterhaltspflichtig ist
(RIS-Justiz RS0124112). Kommt jemand den Pflichten entsprechend
§ 102 Abs 1 AußStrG nicht nach, so kann auch dessen
</w:t>
            </w:r>
            <w:r>
              <w:rPr>
                <w:rFonts w:ascii="Arial" w:hAnsi="Arial" w:eastAsia="Arial" w:cs="Arial"/>
                <w:b/>
                <w:bCs/>
                <w:color w:val="000000"/>
                <w:position w:val="0"/>
                <w:sz w:val="20"/>
                <w:szCs w:val="20"/>
              </w:rPr>
              <w:t xml:space="preserve">Dienstgeber</w:t>
            </w:r>
            <w:r>
              <w:rPr>
                <w:rFonts w:ascii="Arial" w:hAnsi="Arial" w:eastAsia="Arial" w:cs="Arial"/>
                <w:color w:val="000000"/>
                <w:position w:val="0"/>
                <w:sz w:val="20"/>
                <w:szCs w:val="20"/>
              </w:rPr>
              <w:t xml:space="preserve"> um Auskunft ersucht werden
</w:t>
            </w:r>
            <w:r>
              <w:rPr>
                <w:rFonts w:ascii="Arial" w:hAnsi="Arial" w:eastAsia="Arial" w:cs="Arial"/>
                <w:b/>
                <w:bCs/>
                <w:color w:val="000000"/>
                <w:position w:val="0"/>
                <w:sz w:val="20"/>
                <w:szCs w:val="20"/>
              </w:rPr>
              <w:t xml:space="preserve">(§ 102 Abs 2 S 2 AußStrG)</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w:t>
            </w:r>
            <w:r>
              <w:rPr>
                <w:rFonts w:ascii="Arial" w:hAnsi="Arial" w:eastAsia="Arial" w:cs="Arial"/>
                <w:b/>
                <w:bCs/>
                <w:color w:val="000000"/>
                <w:position w:val="0"/>
                <w:sz w:val="20"/>
                <w:szCs w:val="20"/>
              </w:rPr>
              <w:t xml:space="preserve">unselbständig Erwerbstätigen</w:t>
            </w:r>
            <w:r>
              <w:rPr>
                <w:rFonts w:ascii="Arial" w:hAnsi="Arial" w:eastAsia="Arial" w:cs="Arial"/>
                <w:color w:val="000000"/>
                <w:position w:val="0"/>
                <w:sz w:val="20"/>
                <w:szCs w:val="20"/>
              </w:rPr>
              <w:t xml:space="preserve"> fällt unter
das unterhaltsrechtliche Einkommen somit das Arbeitsentgelt, also
das, was der Arbeitgeber dem Arbeitnehmer für das
Zurverfügungstellen der Arbeitskraft leistet, soweit damit nicht
tatsächliche Aufwendungen abgegolten werden. Hiebei wird also an
sich an den arbeitsrechtlichen Entgeltbegriff angeknüpft (2 Ob
15/09h). Auch „schwarze“ Einkommensbestandteile oder
Zusatzeinkünfte, also bspw für im Pfusch durchgeführte Arbeiten der
unterhaltspflichtigen Person sollen nach hRsp in die
Unterhaltsbemessung einzubeziehen sein (RIS-Justiz RS0117131).
</w:t>
            </w:r>
            <w:r>
              <w:rPr>
                <w:rFonts w:ascii="Arial" w:hAnsi="Arial" w:eastAsia="Arial" w:cs="Arial"/>
                <w:b/>
                <w:bCs/>
                <w:color w:val="000000"/>
                <w:position w:val="0"/>
                <w:sz w:val="20"/>
                <w:szCs w:val="20"/>
              </w:rPr>
              <w:t xml:space="preserve">Natural- bzw Sachbezüge</w:t>
            </w:r>
            <w:r>
              <w:rPr>
                <w:rFonts w:ascii="Arial" w:hAnsi="Arial" w:eastAsia="Arial" w:cs="Arial"/>
                <w:color w:val="000000"/>
                <w:position w:val="0"/>
                <w:sz w:val="20"/>
                <w:szCs w:val="20"/>
              </w:rPr>
              <w:t xml:space="preserve">, etwa die private
Benützung des Firmenkraftfahrzeuges, Vorteile aus der Nutzung von
Betriebseinrichtungen, Zuwendungen des Arbeitgebers für
Zukunftssicherung, Mitarbeiterbeteiligungen, freie oder verbilligte
Mahlzeiten und am Arbeitsplatz verabreichte Getränke, insgesamt
also Vorteile, die nicht dem Ausgleich eines echten Mehraufwandes
dienen, sondern die die Bedürfnisse des Unterhaltspflichtigen
jedenfalls verringern, sind gleichfalls bei Ermittlung der
Unterhaltsbemessungsgrundlage zu berücksichtigen (6 Ob 278/01b) und
haben als Einkommensbestandteile in die Bemessungsgrundlage
einzufließen (RIS-Justiz RS0109238). Nach der Rsp soll hier solange
von der lohnsteuerrechtlichen Bewertung dieser Sachleistungen
ausgegangen werden, als es keine Hinweise gibt, dass diese nicht
den realen Gegebenheiten entsprechen (6 Ob 109/21d).
</w:t>
            </w:r>
            <w:r>
              <w:rPr>
                <w:rFonts w:ascii="Arial" w:hAnsi="Arial" w:eastAsia="Arial" w:cs="Arial"/>
                <w:b/>
                <w:bCs/>
                <w:color w:val="000000"/>
                <w:position w:val="0"/>
                <w:sz w:val="20"/>
                <w:szCs w:val="20"/>
              </w:rPr>
              <w:t xml:space="preserve">Diäten</w:t>
            </w:r>
            <w:r>
              <w:rPr>
                <w:rFonts w:ascii="Arial" w:hAnsi="Arial" w:eastAsia="Arial" w:cs="Arial"/>
                <w:color w:val="000000"/>
                <w:position w:val="0"/>
                <w:sz w:val="20"/>
                <w:szCs w:val="20"/>
              </w:rPr>
              <w:t xml:space="preserve"> sind nach ständiger höchstgerichtlicher Rsp
zur Hälfte in die Unterhaltsbemessungsgrundlage einzubeziehen,
sofern der Verpflichtete nicht nachweist, dass diese Bezüge darüber
hinaus der Abdeckung berufsbedingter Mehrausgaben dienen (8 Ob
160/18i Zak 2019/121 = iFamZ 2019/43; RIS-Justiz RS0047442).
Dementsprechend werden auch Auslandszulagen, Entfernungszulagen,
Montagezulagen oder Taggelder regelmäßig zur Hälfte in die
Unterhaltsbemessungsgrundlage einbezogen, sofern der
Unterhaltspflichtige nicht nachweist, dass er mehr als die Hälfte
zur Abdeckung seines berufsbedingten Mehraufwandes bedarf (7 Ob
302/99h). Ein reiner Spesenersatz stellt demgegenüber keinen
Einkommensbestandteil dar (LG Wels EFSlg 126.275).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das Einkommen </w:t>
            </w:r>
            <w:r>
              <w:rPr>
                <w:rFonts w:ascii="Arial" w:hAnsi="Arial" w:eastAsia="Arial" w:cs="Arial"/>
                <w:b/>
                <w:bCs/>
                <w:color w:val="000000"/>
                <w:position w:val="0"/>
                <w:sz w:val="20"/>
                <w:szCs w:val="20"/>
              </w:rPr>
              <w:t xml:space="preserve">selbständig Erwerbstätiger</w:t>
            </w:r>
            <w:r>
              <w:rPr>
                <w:rFonts w:ascii="Arial" w:hAnsi="Arial" w:eastAsia="Arial" w:cs="Arial"/>
                <w:color w:val="000000"/>
                <w:position w:val="0"/>
                <w:sz w:val="20"/>
                <w:szCs w:val="20"/>
              </w:rPr>
              <w:t xml:space="preserve">
ist nach einhelliger Lehre und Rsp weiters nicht der steuerliche
Reingewinn maßgebend, sondern der </w:t>
            </w:r>
            <w:r>
              <w:rPr>
                <w:rFonts w:ascii="Arial" w:hAnsi="Arial" w:eastAsia="Arial" w:cs="Arial"/>
                <w:b/>
                <w:bCs/>
                <w:color w:val="000000"/>
                <w:position w:val="0"/>
                <w:sz w:val="20"/>
                <w:szCs w:val="20"/>
              </w:rPr>
              <w:t xml:space="preserve">tatsächlich verbleibende
Reingewinn</w:t>
            </w:r>
            <w:r>
              <w:rPr>
                <w:rFonts w:ascii="Arial" w:hAnsi="Arial" w:eastAsia="Arial" w:cs="Arial"/>
                <w:color w:val="000000"/>
                <w:position w:val="0"/>
                <w:sz w:val="20"/>
                <w:szCs w:val="20"/>
              </w:rPr>
              <w:t xml:space="preserve"> (2 Ob 115/11t uva), wobei für die Bemessung des
zukünftig laufenden Unterhaltes als Unterhaltsbemessungsgrundlage
das Durchschnittseinkommen der drei letzten, der Beschlussfassung
vorangegangenen Wirtschaftsjahre herangezogen wird (RIS-Justiz
RS0053251), aber auch auf die konkreten Indikatoren für die
Unternehmensaussichten Bedacht zu nehmen ist (3 Ob 395/97b), sohin
ob ein derartiges Einkommen auch in Zukunft noch realistisch
erzielbar ist. Muss umgekehrt für konkrete vergangene
Zeitabschnitte geprüft werden, ob das Einkommen des
Unterhaltspflichtigen einer Unterhaltsverpflichtung entsprochen
hat, dann ist die tatsächliche finanzielle Leistungsfähigkeit des
Unterhaltsschuldners genau für diese Unterhaltsperioden zu
ermitteln (1 Ob 549/95). Tätigt der Unterhaltspflichtige allerdings
höhere </w:t>
            </w:r>
            <w:r>
              <w:rPr>
                <w:rFonts w:ascii="Arial" w:hAnsi="Arial" w:eastAsia="Arial" w:cs="Arial"/>
                <w:b/>
                <w:bCs/>
                <w:color w:val="000000"/>
                <w:position w:val="0"/>
                <w:sz w:val="20"/>
                <w:szCs w:val="20"/>
              </w:rPr>
              <w:t xml:space="preserve">Privatentnahmen</w:t>
            </w:r>
            <w:r>
              <w:rPr>
                <w:rFonts w:ascii="Arial" w:hAnsi="Arial" w:eastAsia="Arial" w:cs="Arial"/>
                <w:color w:val="000000"/>
                <w:position w:val="0"/>
                <w:sz w:val="20"/>
                <w:szCs w:val="20"/>
              </w:rPr>
              <w:t xml:space="preserve"> als es dem Reingewinn
entspricht, so greift er insofern den Stamm seines Vermögens an.
Sieht sich der Unterhaltspflichtige zu einer solchen Vorgangsweise
zur Befriedigung eigener Bedürfnisse veranlasst, so liegt eben
darin eine Gestaltung der Lebensverhältnisse des
Unterhaltspflichtigen, an denen die angemessenen Bedürfnisse des
Kindes zu messen sind. Es bilden daher Privatentnahmen die
Unterhaltsbemessungsgrundlage und zwar sogar dann, wenn der
Unterhaltspflichtige mit einem bilanzmäßigen Verlust abschließt
(RIS-Justiz RS0047382). Dies gilt nach der Rsp allerdings nur
solange, als der Erhöhung der Bankverbindlichkeiten ein Vermögen
gegenübersteht; ist dies nicht (mehr) der Fall, ist mangels
gegenüberstehenden Vermögens ein Eingriff in die Vermögenssubstanz
nicht (mehr) möglich (2 Ob 115/11t Zak 2011/812 = Jus-Extra OGH-Z
5059).</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Pensionen</w:t>
            </w:r>
            <w:r>
              <w:rPr>
                <w:rFonts w:ascii="Arial" w:hAnsi="Arial" w:eastAsia="Arial" w:cs="Arial"/>
                <w:color w:val="000000"/>
                <w:position w:val="0"/>
                <w:sz w:val="20"/>
                <w:szCs w:val="20"/>
              </w:rPr>
              <w:t xml:space="preserve"> aus der gesetzlichen
Pensionsversicherung oder einer betrieblichen Altersvorsorge fallen
selbstverständlich in die Unterhaltsbemessungsgrundlage.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w:t>
            </w:r>
            <w:r>
              <w:rPr>
                <w:rFonts w:ascii="Arial" w:hAnsi="Arial" w:eastAsia="Arial" w:cs="Arial"/>
                <w:b/>
                <w:bCs/>
                <w:color w:val="000000"/>
                <w:position w:val="0"/>
                <w:sz w:val="20"/>
                <w:szCs w:val="20"/>
              </w:rPr>
              <w:t xml:space="preserve">öffentlich-rechtliche Leistungen</w:t>
            </w:r>
            <w:r>
              <w:rPr>
                <w:rFonts w:ascii="Arial" w:hAnsi="Arial" w:eastAsia="Arial" w:cs="Arial"/>
                <w:color w:val="000000"/>
                <w:position w:val="0"/>
                <w:sz w:val="20"/>
                <w:szCs w:val="20"/>
              </w:rPr>
              <w:t xml:space="preserve"> sind
grundsätzlich in die Unterhaltsbemessungsgrundlage einzubeziehen
(RIS-Justiz RS0047456;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4</w:t>
            </w:r>
            <w:r>
              <w:rPr>
                <w:rFonts w:ascii="Arial" w:hAnsi="Arial" w:eastAsia="Arial" w:cs="Arial"/>
                <w:color w:val="000000"/>
                <w:position w:val="0"/>
                <w:sz w:val="20"/>
                <w:szCs w:val="20"/>
              </w:rPr>
              <w:t xml:space="preserve">, 2019, Rz 271 mwN).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Kinderbetreuungsgeld</w:t>
            </w:r>
            <w:r>
              <w:rPr>
                <w:rFonts w:ascii="Arial" w:hAnsi="Arial" w:eastAsia="Arial" w:cs="Arial"/>
                <w:color w:val="000000"/>
                <w:position w:val="0"/>
                <w:sz w:val="20"/>
                <w:szCs w:val="20"/>
              </w:rPr>
              <w:t xml:space="preserve"> soll nach mittlerweile hA
sowohl in der einkommensabhängigen Variante als auch in der
pauschalen Variante in die Unterhaltsbemessungsgrundlage
einzubeziehen sein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Einkommen im unterhaltsrechtlichen Sinne können auch die
</w:t>
            </w:r>
            <w:r>
              <w:rPr>
                <w:rFonts w:ascii="Arial" w:hAnsi="Arial" w:eastAsia="Arial" w:cs="Arial"/>
                <w:b/>
                <w:bCs/>
                <w:color w:val="000000"/>
                <w:position w:val="0"/>
                <w:sz w:val="20"/>
                <w:szCs w:val="20"/>
              </w:rPr>
              <w:t xml:space="preserve">Erträgnisse des Vermögens</w:t>
            </w:r>
            <w:r>
              <w:rPr>
                <w:rFonts w:ascii="Arial" w:hAnsi="Arial" w:eastAsia="Arial" w:cs="Arial"/>
                <w:color w:val="000000"/>
                <w:position w:val="0"/>
                <w:sz w:val="20"/>
                <w:szCs w:val="20"/>
              </w:rPr>
              <w:t xml:space="preserve"> des Verpflichteten sein,
mag dieses auch etwa im Erbweg erworben worden sein, grundsätzlich
aber nicht die Vermögenssubstanz selbst (RIS-Justiz RS0113786).
Greift der Unterhaltspflichtige also sein </w:t>
            </w:r>
            <w:r>
              <w:rPr>
                <w:rFonts w:ascii="Arial" w:hAnsi="Arial" w:eastAsia="Arial" w:cs="Arial"/>
                <w:b/>
                <w:bCs/>
                <w:color w:val="000000"/>
                <w:position w:val="0"/>
                <w:sz w:val="20"/>
                <w:szCs w:val="20"/>
              </w:rPr>
              <w:t xml:space="preserve">Vermögen</w:t>
            </w:r>
            <w:r>
              <w:rPr>
                <w:rFonts w:ascii="Arial" w:hAnsi="Arial" w:eastAsia="Arial" w:cs="Arial"/>
                <w:color w:val="000000"/>
                <w:position w:val="0"/>
                <w:sz w:val="20"/>
                <w:szCs w:val="20"/>
              </w:rPr>
              <w:t xml:space="preserve">
an, um damit die Kosten der von ihm gewählten Lebensführung zu
decken, dient dieses Maß der Inanspruchnahme (auch) als Grundlage
für die Bemessung des Unterhaltsanspruchs (2 Ob 115/11t ua).</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Unterhaltszahlungen</w:t>
            </w:r>
            <w:r>
              <w:rPr>
                <w:rFonts w:ascii="Arial" w:hAnsi="Arial" w:eastAsia="Arial" w:cs="Arial"/>
                <w:color w:val="000000"/>
                <w:position w:val="0"/>
                <w:sz w:val="20"/>
                <w:szCs w:val="20"/>
              </w:rPr>
              <w:t xml:space="preserve"> an einen
unterhaltspflichtigen Elternteil sind grundsätzlich in die
Unterhaltsbemessungsgrundlage für dessen Unterhaltsgläubiger
einzubeziehen (1 Ob 337/99m).</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Ausgenommen</w:t>
            </w:r>
            <w:r>
              <w:rPr>
                <w:rFonts w:ascii="Arial" w:hAnsi="Arial" w:eastAsia="Arial" w:cs="Arial"/>
                <w:color w:val="000000"/>
                <w:position w:val="0"/>
                <w:sz w:val="20"/>
                <w:szCs w:val="20"/>
              </w:rPr>
              <w:t xml:space="preserve"> von der
Unterhaltsbemessungsgrundlage sind demgegenüber grundsätzlich
solche Einnahmen, die der </w:t>
            </w:r>
            <w:r>
              <w:rPr>
                <w:rFonts w:ascii="Arial" w:hAnsi="Arial" w:eastAsia="Arial" w:cs="Arial"/>
                <w:b/>
                <w:bCs/>
                <w:color w:val="000000"/>
                <w:position w:val="0"/>
                <w:sz w:val="20"/>
                <w:szCs w:val="20"/>
              </w:rPr>
              <w:t xml:space="preserve">Abgeltung von effektiven
Auslagen</w:t>
            </w:r>
            <w:r>
              <w:rPr>
                <w:rFonts w:ascii="Arial" w:hAnsi="Arial" w:eastAsia="Arial" w:cs="Arial"/>
                <w:color w:val="000000"/>
                <w:position w:val="0"/>
                <w:sz w:val="20"/>
                <w:szCs w:val="20"/>
              </w:rPr>
              <w:t xml:space="preserve"> dienen (RIS-Justiz RS0107262). In diesem Sinn
sind verpflichtende Beiträge zur gesetzlichen Kranken-, Unfall- und
Pensionsversicherung aus der Unterhaltsbemessungsgrundlage
auszuscheiden, Beiträge für private Unfall-, Kranken- oder
Lebensversicherungen sind hingegen im Allgemeinen nicht abzugsfähig
(8 Ob 75/10b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190275" w:name="note6"/>
            <w:bookmarkEnd w:id="79190275"/>
            <w:bookmarkStart w:id="8622848428584" w:name="note6"/>
            <w:r>
              <w:rPr>
                <w:rFonts w:ascii="Arial" w:hAnsi="Arial" w:eastAsia="Arial" w:cs="Arial"/>
                <w:b/>
                <w:bCs/>
                <w:color w:val="000000"/>
                <w:position w:val="0"/>
                <w:sz w:val="20"/>
                <w:szCs w:val="20"/>
              </w:rPr>
              <w:t xml:space="preserve">[6]</w:t>
            </w:r>
            <w:bookmarkEnd w:id="86228484285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Unterhaltsschuldner hat alle Kräfte anzuspannen, um seiner
Verpflichtung nachkommen zu können; er muss alle persönlichen
Fähigkeiten, insbesondere seine Arbeitskraft so gut wie möglich
einsetzen. Tut er dies nicht, wird er so behandelt, als bezöge er
Einkünfte, die er bei zumutbarer Erwerbstätigkeit hätte erzielen
können (</w:t>
            </w:r>
            <w:r>
              <w:rPr>
                <w:rFonts w:ascii="Arial" w:hAnsi="Arial" w:eastAsia="Arial" w:cs="Arial"/>
                <w:b/>
                <w:bCs/>
                <w:color w:val="000000"/>
                <w:position w:val="0"/>
                <w:sz w:val="20"/>
                <w:szCs w:val="20"/>
              </w:rPr>
              <w:t xml:space="preserve">„Anspannung“</w:t>
            </w:r>
            <w:r>
              <w:rPr>
                <w:rFonts w:ascii="Arial" w:hAnsi="Arial" w:eastAsia="Arial" w:cs="Arial"/>
                <w:color w:val="000000"/>
                <w:position w:val="0"/>
                <w:sz w:val="20"/>
                <w:szCs w:val="20"/>
              </w:rPr>
              <w:t xml:space="preserve">; RIS-Justiz RS0047686). Der
Anspannungsgrundsatz dient damit als eine Art
</w:t>
            </w:r>
            <w:r>
              <w:rPr>
                <w:rFonts w:ascii="Arial" w:hAnsi="Arial" w:eastAsia="Arial" w:cs="Arial"/>
                <w:b/>
                <w:bCs/>
                <w:color w:val="000000"/>
                <w:position w:val="0"/>
                <w:sz w:val="20"/>
                <w:szCs w:val="20"/>
              </w:rPr>
              <w:t xml:space="preserve">Missbrauchsvorbehalt</w:t>
            </w:r>
            <w:r>
              <w:rPr>
                <w:rFonts w:ascii="Arial" w:hAnsi="Arial" w:eastAsia="Arial" w:cs="Arial"/>
                <w:color w:val="000000"/>
                <w:position w:val="0"/>
                <w:sz w:val="20"/>
                <w:szCs w:val="20"/>
              </w:rPr>
              <w:t xml:space="preserve"> (1 Ob 191/01x SZ 74/138).
Eine Anspannung auf tatsächlich nicht erzieltes Einkommen darf
allerdings nur erfolgen, wenn den Unterhaltsschuldner ein
Verschulden daran trifft, dass er keine Erwerbstätigkeit ausübt
(RIS-Justiz RS0047495). Fraglich ist, welches reale Einkommen der
Unterhaltspflichtige in den Zeiträumen, für die die
Unterhaltsbemessung erfolgt, unter Berücksichtigung seiner
</w:t>
            </w:r>
            <w:r>
              <w:rPr>
                <w:rFonts w:ascii="Arial" w:hAnsi="Arial" w:eastAsia="Arial" w:cs="Arial"/>
                <w:b/>
                <w:bCs/>
                <w:color w:val="000000"/>
                <w:position w:val="0"/>
                <w:sz w:val="20"/>
                <w:szCs w:val="20"/>
              </w:rPr>
              <w:t xml:space="preserve">konkreten Fähigkeiten und Möglichkeiten bei der gegebenen
Arbeitsmarktlage</w:t>
            </w:r>
            <w:r>
              <w:rPr>
                <w:rFonts w:ascii="Arial" w:hAnsi="Arial" w:eastAsia="Arial" w:cs="Arial"/>
                <w:color w:val="000000"/>
                <w:position w:val="0"/>
                <w:sz w:val="20"/>
                <w:szCs w:val="20"/>
              </w:rPr>
              <w:t xml:space="preserve"> zu erzielen in der Lage wäre (RIS-Justiz
RS0047579). Hierbei kommt dem Gesundheitszustand sowie der
körperlichen und geistigen Leistungsfähigkeit des
Unterhaltspflichtigen wesentliche Bedeutung zu (8 Ob 503/96). Im
Regelfall wird dies durch die Einholung eines
</w:t>
            </w:r>
            <w:r>
              <w:rPr>
                <w:rFonts w:ascii="Arial" w:hAnsi="Arial" w:eastAsia="Arial" w:cs="Arial"/>
                <w:b/>
                <w:bCs/>
                <w:color w:val="000000"/>
                <w:position w:val="0"/>
                <w:sz w:val="20"/>
                <w:szCs w:val="20"/>
              </w:rPr>
              <w:t xml:space="preserve">berufskundlichen Sachverständigengutachtens</w:t>
            </w:r>
            <w:r>
              <w:rPr>
                <w:rFonts w:ascii="Arial" w:hAnsi="Arial" w:eastAsia="Arial" w:cs="Arial"/>
                <w:color w:val="000000"/>
                <w:position w:val="0"/>
                <w:sz w:val="20"/>
                <w:szCs w:val="20"/>
              </w:rPr>
              <w:t xml:space="preserve"> zu
erheben sein.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257651" w:name="note7"/>
            <w:bookmarkEnd w:id="87257651"/>
            <w:bookmarkStart w:id="8532325893240" w:name="note7"/>
            <w:r>
              <w:rPr>
                <w:rFonts w:ascii="Arial" w:hAnsi="Arial" w:eastAsia="Arial" w:cs="Arial"/>
                <w:b/>
                <w:bCs/>
                <w:color w:val="000000"/>
                <w:position w:val="0"/>
                <w:sz w:val="20"/>
                <w:szCs w:val="20"/>
              </w:rPr>
              <w:t xml:space="preserve">[7]</w:t>
            </w:r>
            <w:bookmarkEnd w:id="85323258932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Fragen eines allfälligen Eigeneinkommens des
unterhaltsberechtigten Kindes vgl die Anmerkungen zum Muster eines
Unterhaltsenthebungsantrages.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053524" w:name="note8"/>
            <w:bookmarkEnd w:id="35053524"/>
            <w:bookmarkStart w:id="892019191687" w:name="note8"/>
            <w:r>
              <w:rPr>
                <w:rFonts w:ascii="Arial" w:hAnsi="Arial" w:eastAsia="Arial" w:cs="Arial"/>
                <w:b/>
                <w:bCs/>
                <w:color w:val="000000"/>
                <w:position w:val="0"/>
                <w:sz w:val="20"/>
                <w:szCs w:val="20"/>
              </w:rPr>
              <w:t xml:space="preserve">[8]</w:t>
            </w:r>
            <w:bookmarkEnd w:id="89201919168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Fragen der Reduktion des Unterhaltes infolge
überdurchschnittlicher Betreuung durch die unterhaltspflichtige
Person sowie zum sog „betreuungsrechtlichen Unterhalt“ vgl die
Anmerkungen zum Muster einer Äußerung zum Unterhaltsantrag.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159228" w:name="note9"/>
            <w:bookmarkEnd w:id="30159228"/>
            <w:bookmarkStart w:id="5225445517190" w:name="note9"/>
            <w:r>
              <w:rPr>
                <w:rFonts w:ascii="Arial" w:hAnsi="Arial" w:eastAsia="Arial" w:cs="Arial"/>
                <w:b/>
                <w:bCs/>
                <w:color w:val="000000"/>
                <w:position w:val="0"/>
                <w:sz w:val="20"/>
                <w:szCs w:val="20"/>
              </w:rPr>
              <w:t xml:space="preserve">[9]</w:t>
            </w:r>
            <w:bookmarkEnd w:id="52254455171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Fragen betreffend Unterhaltssonderbedarf vgl die Anmerkungen
zum Muster eines Unterhaltsfestsetzungsantrages/Antrages auf
Sonderbedarf.</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825807" w:name="note10"/>
            <w:bookmarkEnd w:id="50825807"/>
            <w:bookmarkStart w:id="6075051801500" w:name="note10"/>
            <w:r>
              <w:rPr>
                <w:rFonts w:ascii="Arial" w:hAnsi="Arial" w:eastAsia="Arial" w:cs="Arial"/>
                <w:b/>
                <w:bCs/>
                <w:color w:val="000000"/>
                <w:position w:val="0"/>
                <w:sz w:val="20"/>
                <w:szCs w:val="20"/>
              </w:rPr>
              <w:t xml:space="preserve">[10]</w:t>
            </w:r>
            <w:bookmarkEnd w:id="60750518015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Familienbonus handelt es sich – so wie beim
Unterhaltsabsetzbetrag – um einen echten Steuerabsetzbetrag. Der
Gesetzgeber hat den Familienbonus grundsätzlich mit der Zielsetzung
eingeführt, die verfassungsrechtlich gebotene steuerliche
Entlastung der Geldunterhaltspflichtigen nunmehr durch die
erwähnten steuergesetzlichen Maßnahmen herbeizuführen. Dadurch
findet eine Entkoppelung von Unterhalts- und Steuerrecht statt. Die
verfassungsrechtlich gebotene steuerliche Entlastung des
Geldunterhaltspflichtigen erfolgt daher im Ergebnis nunmehr durch
den </w:t>
            </w:r>
            <w:r>
              <w:rPr>
                <w:rFonts w:ascii="Arial" w:hAnsi="Arial" w:eastAsia="Arial" w:cs="Arial"/>
                <w:b/>
                <w:bCs/>
                <w:color w:val="000000"/>
                <w:position w:val="0"/>
                <w:sz w:val="20"/>
                <w:szCs w:val="20"/>
              </w:rPr>
              <w:t xml:space="preserve">Familienbonus</w:t>
            </w:r>
            <w:r>
              <w:rPr>
                <w:rFonts w:ascii="Arial" w:hAnsi="Arial" w:eastAsia="Arial" w:cs="Arial"/>
                <w:color w:val="000000"/>
                <w:position w:val="0"/>
                <w:sz w:val="20"/>
                <w:szCs w:val="20"/>
              </w:rPr>
              <w:t xml:space="preserve"> und den Unterhaltsabsetzbetrag.
Der Familienbonus ist dementsprechend nicht in die
Unterhaltsbemessungsgrundlage einzubeziehen; umgekehrt findet aber
auch eine Anrechnung von Transferleistungen
</w:t>
            </w:r>
            <w:r>
              <w:rPr>
                <w:rFonts w:ascii="Arial" w:hAnsi="Arial" w:eastAsia="Arial" w:cs="Arial"/>
                <w:b/>
                <w:bCs/>
                <w:color w:val="000000"/>
                <w:position w:val="0"/>
                <w:sz w:val="20"/>
                <w:szCs w:val="20"/>
              </w:rPr>
              <w:t xml:space="preserve">(Familienbeihilfe, Kinderabsetzbetrag)</w:t>
            </w:r>
            <w:r>
              <w:rPr>
                <w:rFonts w:ascii="Arial" w:hAnsi="Arial" w:eastAsia="Arial" w:cs="Arial"/>
                <w:color w:val="000000"/>
                <w:position w:val="0"/>
                <w:sz w:val="20"/>
                <w:szCs w:val="20"/>
              </w:rPr>
              <w:t xml:space="preserve"> nun nicht
mehr statt. Familienbonus und Unterhaltsabsetzbetrag bleiben damit
unterhaltsrechtlich neutral (RIS-Justiz RS0132928).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Art 7 Teuerungs-Entlastungspaket III (RV 1663 dB 27.
GP) wurde § 16 FLAG eingeführt, demzufolge mit Wirksamkeit ab
01.01. eines jeden Jahres, erstmals mit 01.01.2023, die Beträge an
Familienbeihilfe gem § 8 und Mehrkindzuschlag gem § 9
FLAG mit dem Anpassungsfaktor gem § 108f ASVG zu vervielfachen
sind. Der Vervielfachung sind die Beträge zugrunde zu legen, die am
31.12. des vorangegangenen Jahres in Geltung stehen. Die
vervielfachten Beträge sind kaufmännisch auf eine Dezimalstelle zu
runden. Die Bundesministerin für Frauen, Familie, Integration und
Medien hat für das folgende Kalenderjahr die vervielfachten Beträge
entsprechend § 16 Abs 1 FLAG bis spätestens 15.11. eines
jeden Jahres zu ermitteln und mit Verordnung kundzumachen
(§ 16 Abs 2 FLAG).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Rahmen der von der Bundesregierung beschlossenen
Entlastungsmaßnahmen sollten daher auch die Familienbeihilfe und
der Mehrkindzuschlag ab dem Kalenderjahr 2023 jährlich valorisiert
werden, um die erhöhten Lebenshaltungskosten für Familien infolge
der Preissteigerungen abzugelten (RV 1663 dB 27. GP 5). Für 2026
und 2027 wurde die Valorisierung – zum Zweck der Budgetsanierung –
ausgesetzt, eine weitere Valorisierung ist für 2028 vorgesehen.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794103" w:name="note11"/>
            <w:bookmarkEnd w:id="93794103"/>
            <w:bookmarkStart w:id="3961519007309" w:name="note11"/>
            <w:r>
              <w:rPr>
                <w:rFonts w:ascii="Arial" w:hAnsi="Arial" w:eastAsia="Arial" w:cs="Arial"/>
                <w:b/>
                <w:bCs/>
                <w:color w:val="000000"/>
                <w:position w:val="0"/>
                <w:sz w:val="20"/>
                <w:szCs w:val="20"/>
              </w:rPr>
              <w:t xml:space="preserve">[11]</w:t>
            </w:r>
            <w:bookmarkEnd w:id="39615190073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Unterhaltsregelung unterliegt daher der sog
</w:t>
            </w:r>
            <w:r>
              <w:rPr>
                <w:rFonts w:ascii="Arial" w:hAnsi="Arial" w:eastAsia="Arial" w:cs="Arial"/>
                <w:b/>
                <w:bCs/>
                <w:color w:val="000000"/>
                <w:position w:val="0"/>
                <w:sz w:val="20"/>
                <w:szCs w:val="20"/>
              </w:rPr>
              <w:t xml:space="preserve">„Umstandsklausel“</w:t>
            </w:r>
            <w:r>
              <w:rPr>
                <w:rFonts w:ascii="Arial" w:hAnsi="Arial" w:eastAsia="Arial" w:cs="Arial"/>
                <w:color w:val="000000"/>
                <w:position w:val="0"/>
                <w:sz w:val="20"/>
                <w:szCs w:val="20"/>
              </w:rPr>
              <w:t xml:space="preserve">, sodass wesentliche Änderungen
der Verhältnisse auf Antrag zu einer Neufestsetzung des
Unterhaltsanspruchs führen (7 Ob 16/14z). Dies betrifft aber auch
Fragen des Unterhaltssonderbedarfes, bspw wenn nicht mehr länger
Schulgeld für den Besuch einer bestimmten Schule zu bezahlen ist
(vgl 1 Ob 131/16w).</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t>
            </w:r>
            <w:r>
              <w:rPr>
                <w:rFonts w:ascii="Arial" w:hAnsi="Arial" w:eastAsia="Arial" w:cs="Arial"/>
                <w:b/>
                <w:bCs/>
                <w:color w:val="000000"/>
                <w:position w:val="0"/>
                <w:sz w:val="20"/>
                <w:szCs w:val="20"/>
              </w:rPr>
              <w:t xml:space="preserve">wesentliche Änderung der Umstände</w:t>
            </w:r>
            <w:r>
              <w:rPr>
                <w:rFonts w:ascii="Arial" w:hAnsi="Arial" w:eastAsia="Arial" w:cs="Arial"/>
                <w:color w:val="000000"/>
                <w:position w:val="0"/>
                <w:sz w:val="20"/>
                <w:szCs w:val="20"/>
              </w:rPr>
              <w:t xml:space="preserve"> ist eine
solche, die über bloß unbedeutende oder unerhebliche Veränderungen
hinausgeht und sich in einer merkbaren Unterhaltsdifferenz
niederschlägt (10 Ob 59/16y).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588552" w:name="note12"/>
            <w:bookmarkEnd w:id="99588552"/>
            <w:bookmarkStart w:id="6450714277743" w:name="note12"/>
            <w:r>
              <w:rPr>
                <w:rFonts w:ascii="Arial" w:hAnsi="Arial" w:eastAsia="Arial" w:cs="Arial"/>
                <w:b/>
                <w:bCs/>
                <w:color w:val="000000"/>
                <w:position w:val="0"/>
                <w:sz w:val="20"/>
                <w:szCs w:val="20"/>
              </w:rPr>
              <w:t xml:space="preserve">[12]</w:t>
            </w:r>
            <w:bookmarkEnd w:id="64507142777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 382a Abs 1 EO</w:t>
            </w:r>
            <w:r>
              <w:rPr>
                <w:rFonts w:ascii="Arial" w:hAnsi="Arial" w:eastAsia="Arial" w:cs="Arial"/>
                <w:color w:val="000000"/>
                <w:position w:val="0"/>
                <w:sz w:val="20"/>
                <w:szCs w:val="20"/>
              </w:rPr>
              <w:t xml:space="preserve"> ist ein Antrag
eines minderjährigen Kindes auf Gewährung vorläufigen Unterhalts
durch einen Elternteil, in dessen Haushalt der Minderjährige nicht
betreut wird, zu bewilligen, wenn der Elternteil dem Kind nicht
bereits aus einem vollstreckbaren Unterhaltstitel zu Unterhalt
verpflichtet ist und ein Verfahren zur Bemessung des Unterhalts des
Minderjährigen gegen den Elternteil anhängig ist oder zugleich
anhängig gemacht wird.</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Vorläufiger Unterhalt</w:t>
            </w:r>
            <w:r>
              <w:rPr>
                <w:rFonts w:ascii="Arial" w:hAnsi="Arial" w:eastAsia="Arial" w:cs="Arial"/>
                <w:color w:val="000000"/>
                <w:position w:val="0"/>
                <w:sz w:val="20"/>
                <w:szCs w:val="20"/>
              </w:rPr>
              <w:t xml:space="preserve"> gem § 382a
Abs 1 EO kann allerdings höchstens bis zum jeweiligen
altersabhängig bestimmten Betrag der Familienbeihilfe nach dem
Familienlastenausgleichsgesetz bewilligt werden (§ 382a
Abs 2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Großeltern können jedenfalls nicht gem § 382a Abs 1 EO
zur Leistung von vorläufigem Unterhalt verpflichtet werden, der
Vater eines unehelichen minderjährigen Kindes nur, wenn seine
Vaterschaft festgestellt ist (§ 382a Abs 3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Antragsvorbringen des Kindes in diesem Zusammenhang ist für
</w:t>
            </w:r>
            <w:r>
              <w:rPr>
                <w:rFonts w:ascii="Arial" w:hAnsi="Arial" w:eastAsia="Arial" w:cs="Arial"/>
                <w:b/>
                <w:bCs/>
                <w:color w:val="000000"/>
                <w:position w:val="0"/>
                <w:sz w:val="20"/>
                <w:szCs w:val="20"/>
              </w:rPr>
              <w:t xml:space="preserve">bescheinigt</w:t>
            </w:r>
            <w:r>
              <w:rPr>
                <w:rFonts w:ascii="Arial" w:hAnsi="Arial" w:eastAsia="Arial" w:cs="Arial"/>
                <w:color w:val="000000"/>
                <w:position w:val="0"/>
                <w:sz w:val="20"/>
                <w:szCs w:val="20"/>
              </w:rPr>
              <w:t xml:space="preserve"> zu halten, soweit sich aus den
Pflegschaftsakten, die ihn betreffen, nichts Anderes ergibt. Über
den Antrag ist </w:t>
            </w:r>
            <w:r>
              <w:rPr>
                <w:rFonts w:ascii="Arial" w:hAnsi="Arial" w:eastAsia="Arial" w:cs="Arial"/>
                <w:b/>
                <w:bCs/>
                <w:color w:val="000000"/>
                <w:position w:val="0"/>
                <w:sz w:val="20"/>
                <w:szCs w:val="20"/>
              </w:rPr>
              <w:t xml:space="preserve">ohne Anhörung</w:t>
            </w:r>
            <w:r>
              <w:rPr>
                <w:rFonts w:ascii="Arial" w:hAnsi="Arial" w:eastAsia="Arial" w:cs="Arial"/>
                <w:color w:val="000000"/>
                <w:position w:val="0"/>
                <w:sz w:val="20"/>
                <w:szCs w:val="20"/>
              </w:rPr>
              <w:t xml:space="preserve"> des Elternteils
unverzüglich zu entscheiden (§ 382a Abs 4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Darüber hinaus bleibt die Möglichkeit der Anordnung einer
einstweiligen Verfügung nach § 382 Z 8 lit a EO
unberührt (§ 382a Abs 5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382a EO soll minderjährigen Kindern, von denen in den
meisten Fällen anzunehmen ist, dass sie vermögenslos und
einkommenslos und daher auf den gesetzlichen Unterhalt zur
Sicherung ihrer materiellen Existenz angewiesen sind, ein
vereinfachtes Verfahren zur raschen Erledigung eines gewissen, an
die Familienbeihilfe gekoppelten Mindestbetrages ermöglichen. Ziel
des § 382a EO ist es demnach, der Existenzgefährdung von auf
Unterhaltszahlungen angewiesenen minderjährigen Kindern
entgegenzuwirken. Die durch § 382a EO ermöglichte rasche
Vorgangsweise gegen den Unterhaltsschuldner hat nicht den Zweck,
den Unterhaltsschuldner zu pönalisieren, sondern die finanzielle
Existenzgrundlage für das Kind zu sichern (RIS-Justiz
RS0097430).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Vorläufiger Unterhalt ist nur zu bewilligen, soweit der zum
Unterhalt Verpflichtete nicht ohnedies Unterhalt leistet
(RIS-Justiz RS0103397). An vorläufigem Unterhalt steht einem
Minderjährigen ein den Grundbetrag der
</w:t>
            </w:r>
            <w:r>
              <w:rPr>
                <w:rFonts w:ascii="Arial" w:hAnsi="Arial" w:eastAsia="Arial" w:cs="Arial"/>
                <w:b/>
                <w:bCs/>
                <w:color w:val="000000"/>
                <w:position w:val="0"/>
                <w:sz w:val="20"/>
                <w:szCs w:val="20"/>
              </w:rPr>
              <w:t xml:space="preserve">Familienbeihilfe</w:t>
            </w:r>
            <w:r>
              <w:rPr>
                <w:rFonts w:ascii="Arial" w:hAnsi="Arial" w:eastAsia="Arial" w:cs="Arial"/>
                <w:color w:val="000000"/>
                <w:position w:val="0"/>
                <w:sz w:val="20"/>
                <w:szCs w:val="20"/>
              </w:rPr>
              <w:t xml:space="preserve"> übersteigender Betrag nicht zu
(RIS-Justiz RS0103397). Wenn sich daher etwa aus dem Vorbringen
ergibt (und die Pflegschaftsakten nichts anderes ergeben), dass
Unterhalt zumindest in Höhe der Familienbeihilfe gezahlt wird, ist
der Antrag auf vorläufigen Unterhalt abzuweisen (7 Ob 72/13h). Ein
Vorschuss ist schon bei bloßem </w:t>
            </w:r>
            <w:r>
              <w:rPr>
                <w:rFonts w:ascii="Arial" w:hAnsi="Arial" w:eastAsia="Arial" w:cs="Arial"/>
                <w:b/>
                <w:bCs/>
                <w:color w:val="000000"/>
                <w:position w:val="0"/>
                <w:sz w:val="20"/>
                <w:szCs w:val="20"/>
              </w:rPr>
              <w:t xml:space="preserve">Verzug</w:t>
            </w:r>
            <w:r>
              <w:rPr>
                <w:rFonts w:ascii="Arial" w:hAnsi="Arial" w:eastAsia="Arial" w:cs="Arial"/>
                <w:color w:val="000000"/>
                <w:position w:val="0"/>
                <w:sz w:val="20"/>
                <w:szCs w:val="20"/>
              </w:rPr>
              <w:t xml:space="preserve"> des
Unterhaltsschuldners zu gewähren (7 Ob 194/01g SZ 74/163).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Vorläufiger Unterhalt nach 382a EO ist seinem Sinn und Zweck
nach </w:t>
            </w:r>
            <w:r>
              <w:rPr>
                <w:rFonts w:ascii="Arial" w:hAnsi="Arial" w:eastAsia="Arial" w:cs="Arial"/>
                <w:b/>
                <w:bCs/>
                <w:color w:val="000000"/>
                <w:position w:val="0"/>
                <w:sz w:val="20"/>
                <w:szCs w:val="20"/>
              </w:rPr>
              <w:t xml:space="preserve">nicht für die Vergangenheit</w:t>
            </w:r>
            <w:r>
              <w:rPr>
                <w:rFonts w:ascii="Arial" w:hAnsi="Arial" w:eastAsia="Arial" w:cs="Arial"/>
                <w:color w:val="000000"/>
                <w:position w:val="0"/>
                <w:sz w:val="20"/>
                <w:szCs w:val="20"/>
              </w:rPr>
              <w:t xml:space="preserve"> bestimmt, sondern
als vorläufige Leistung laufender Unterhaltszahlungen zu verstehen,
weshalb der Tag der Antragstellung der maßgebende (früheste)
Zeitpunkt für den Beginn des Zuspruchs ist (RIS-Justiz
RS0119184).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ziffernmäßigen Bestimmung eines nach § 382a EO geltend
gemachten Unterhaltsanspruches reicht die Bezugnahme auf den
monatlichen Grundbetrag nach dem zur Zeit der Antragstellung
geltenden § 8 des FLAG entsprechend der Rsp grundsätzlich aus
(RIS-Justiz RS0082312). Eine Konkretisierung empfiehlt sich jedoch
mE dennoch. Gem § 382a Abs 2 EO bildet die
Familienbeihilfe einschließlich der Erhöhungsbeträge nach
</w:t>
            </w:r>
            <w:r>
              <w:rPr>
                <w:rFonts w:ascii="Arial" w:hAnsi="Arial" w:eastAsia="Arial" w:cs="Arial"/>
                <w:b/>
                <w:bCs/>
                <w:color w:val="000000"/>
                <w:position w:val="0"/>
                <w:sz w:val="20"/>
                <w:szCs w:val="20"/>
              </w:rPr>
              <w:t xml:space="preserve">§ 8 Abs 2 FLAG</w:t>
            </w:r>
            <w:r>
              <w:rPr>
                <w:rFonts w:ascii="Arial" w:hAnsi="Arial" w:eastAsia="Arial" w:cs="Arial"/>
                <w:color w:val="000000"/>
                <w:position w:val="0"/>
                <w:sz w:val="20"/>
                <w:szCs w:val="20"/>
              </w:rPr>
              <w:t xml:space="preserve"> (sog „Altersstaffel“),
jedoch ohne jene nach § 8 Abs 3 FLAG (sog
„Mehrkindstaffel“), den Maximalbetrag, der als vorläufiger
Unterhalt zugesprochen werden darf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107). Die aktuellen Beträge können im Internet bspw unter
</w:t>
            </w:r>
            <w:hyperlink r:id="rId78436acf37aa003e1" w:history="1">
              <w:r>
                <w:rPr>
                  <w:rFonts w:ascii="Arial" w:hAnsi="Arial" w:eastAsia="Arial" w:cs="Arial"/>
                  <w:color w:val="006BB6"/>
                  <w:position w:val="0"/>
                  <w:sz w:val="20"/>
                  <w:szCs w:val="20"/>
                </w:rPr>
                <w:t xml:space="preserve">https://www.bundeskanzleramt.gv.at/agenda/familie/familienbeihilfe/basisinformation-zur-familienbeihilfe/</w:t>
              </w:r>
            </w:hyperlink>
            <w:r>
              <w:rPr>
                <w:rFonts w:ascii="Arial" w:hAnsi="Arial" w:eastAsia="Arial" w:cs="Arial"/>
                <w:color w:val="000000"/>
                <w:position w:val="0"/>
                <w:sz w:val="20"/>
                <w:szCs w:val="20"/>
              </w:rPr>
              <w:t xml:space="preserve">
ersehen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Antrag müssen die </w:t>
            </w:r>
            <w:r>
              <w:rPr>
                <w:rFonts w:ascii="Arial" w:hAnsi="Arial" w:eastAsia="Arial" w:cs="Arial"/>
                <w:b/>
                <w:bCs/>
                <w:color w:val="000000"/>
                <w:position w:val="0"/>
                <w:sz w:val="20"/>
                <w:szCs w:val="20"/>
              </w:rPr>
              <w:t xml:space="preserve">materiell-rechtlichen
Voraussetzungen</w:t>
            </w:r>
            <w:r>
              <w:rPr>
                <w:rFonts w:ascii="Arial" w:hAnsi="Arial" w:eastAsia="Arial" w:cs="Arial"/>
                <w:color w:val="000000"/>
                <w:position w:val="0"/>
                <w:sz w:val="20"/>
                <w:szCs w:val="20"/>
              </w:rPr>
              <w:t xml:space="preserve"> des Unterhaltsanspruches und die
Unterhaltsverletzung </w:t>
            </w:r>
            <w:r>
              <w:rPr>
                <w:rFonts w:ascii="Arial" w:hAnsi="Arial" w:eastAsia="Arial" w:cs="Arial"/>
                <w:b/>
                <w:bCs/>
                <w:color w:val="000000"/>
                <w:position w:val="0"/>
                <w:sz w:val="20"/>
                <w:szCs w:val="20"/>
              </w:rPr>
              <w:t xml:space="preserve">behauptet</w:t>
            </w:r>
            <w:r>
              <w:rPr>
                <w:rFonts w:ascii="Arial" w:hAnsi="Arial" w:eastAsia="Arial" w:cs="Arial"/>
                <w:color w:val="000000"/>
                <w:position w:val="0"/>
                <w:sz w:val="20"/>
                <w:szCs w:val="20"/>
              </w:rPr>
              <w:t xml:space="preserve"> werden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aaO, 108). Ein schlüssiges Vorbringen
bildet somit gleichzeitig auch die Entscheidungsgrundlage, weil es
für bescheinigt zu halten ist, soweit sich aus den
Pflegschaftsakten nichts Gegenteiliges ergibt (10 Ob 28/04x ZRInfo
2004/316), sodass grundsätzlich also auch kein weiteres
Bescheinigungsverfahren durchzuführen ist. Werden vom Gericht
allerdings – auch entgegen der Intention des Gesetzes – Erhebungen
über Umstände gepflogen, die die Berechtigung des Anspruchs
betreffen, sind die Ergebnisse dieser Erhebungen der Entscheidung
zugrunde zu legen (RIS-Justiz RS0119185).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w:t>
            </w:r>
            <w:r>
              <w:rPr>
                <w:rFonts w:ascii="Arial" w:hAnsi="Arial" w:eastAsia="Arial" w:cs="Arial"/>
                <w:b/>
                <w:bCs/>
                <w:color w:val="000000"/>
                <w:position w:val="0"/>
                <w:sz w:val="20"/>
                <w:szCs w:val="20"/>
              </w:rPr>
              <w:t xml:space="preserve">Widerspruchsverfahren</w:t>
            </w:r>
            <w:r>
              <w:rPr>
                <w:rFonts w:ascii="Arial" w:hAnsi="Arial" w:eastAsia="Arial" w:cs="Arial"/>
                <w:color w:val="000000"/>
                <w:position w:val="0"/>
                <w:sz w:val="20"/>
                <w:szCs w:val="20"/>
              </w:rPr>
              <w:t xml:space="preserve"> ist in Zusammenhang
mit der Bewilligung eines vorläufigen Unterhaltes nach § 382a
EO </w:t>
            </w:r>
            <w:r>
              <w:rPr>
                <w:rFonts w:ascii="Arial" w:hAnsi="Arial" w:eastAsia="Arial" w:cs="Arial"/>
                <w:b/>
                <w:bCs/>
                <w:color w:val="000000"/>
                <w:position w:val="0"/>
                <w:sz w:val="20"/>
                <w:szCs w:val="20"/>
              </w:rPr>
              <w:t xml:space="preserve">nicht vorgesehen</w:t>
            </w:r>
            <w:r>
              <w:rPr>
                <w:rFonts w:ascii="Arial" w:hAnsi="Arial" w:eastAsia="Arial" w:cs="Arial"/>
                <w:color w:val="000000"/>
                <w:position w:val="0"/>
                <w:sz w:val="20"/>
                <w:szCs w:val="20"/>
              </w:rPr>
              <w:t xml:space="preserve"> (§ 397 Abs 1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 im </w:t>
            </w:r>
            <w:r>
              <w:rPr>
                <w:rFonts w:ascii="Arial" w:hAnsi="Arial" w:eastAsia="Arial" w:cs="Arial"/>
                <w:b/>
                <w:bCs/>
                <w:color w:val="000000"/>
                <w:position w:val="0"/>
                <w:sz w:val="20"/>
                <w:szCs w:val="20"/>
              </w:rPr>
              <w:t xml:space="preserve">Einzelfall</w:t>
            </w:r>
            <w:r>
              <w:rPr>
                <w:rFonts w:ascii="Arial" w:hAnsi="Arial" w:eastAsia="Arial" w:cs="Arial"/>
                <w:color w:val="000000"/>
                <w:position w:val="0"/>
                <w:sz w:val="20"/>
                <w:szCs w:val="20"/>
              </w:rPr>
              <w:t xml:space="preserve"> die Bescheinigung gelungen
ist, stellte keine Rechtsfrage von erheblicher Bedeutung dar
(RIS-Justiz RS0013475).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einstweilige Verfügung nach § 382a EO ist allerdings
soweit </w:t>
            </w:r>
            <w:r>
              <w:rPr>
                <w:rFonts w:ascii="Arial" w:hAnsi="Arial" w:eastAsia="Arial" w:cs="Arial"/>
                <w:b/>
                <w:bCs/>
                <w:color w:val="000000"/>
                <w:position w:val="0"/>
                <w:sz w:val="20"/>
                <w:szCs w:val="20"/>
              </w:rPr>
              <w:t xml:space="preserve">einzuschränken</w:t>
            </w:r>
            <w:r>
              <w:rPr>
                <w:rFonts w:ascii="Arial" w:hAnsi="Arial" w:eastAsia="Arial" w:cs="Arial"/>
                <w:color w:val="000000"/>
                <w:position w:val="0"/>
                <w:sz w:val="20"/>
                <w:szCs w:val="20"/>
              </w:rPr>
              <w:t xml:space="preserve">, als sich aus den
Pflegschaftsakten ergibt oder der Gegner bescheinigt, dass er dem
Minderjährigen offenbar nicht in dieser Höhe zu Unterhalt
verpflichtet ist (§ 399a Abs 1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einstweilige Verfügung nach § 382a EO ist darüber
hinaus </w:t>
            </w:r>
            <w:r>
              <w:rPr>
                <w:rFonts w:ascii="Arial" w:hAnsi="Arial" w:eastAsia="Arial" w:cs="Arial"/>
                <w:b/>
                <w:bCs/>
                <w:color w:val="000000"/>
                <w:position w:val="0"/>
                <w:sz w:val="20"/>
                <w:szCs w:val="20"/>
              </w:rPr>
              <w:t xml:space="preserve">aufzuheben</w:t>
            </w:r>
            <w:r>
              <w:rPr>
                <w:rFonts w:ascii="Arial" w:hAnsi="Arial" w:eastAsia="Arial" w:cs="Arial"/>
                <w:color w:val="000000"/>
                <w:position w:val="0"/>
                <w:sz w:val="20"/>
                <w:szCs w:val="20"/>
              </w:rPr>
              <w:t xml:space="preserve">, wenn sich aus den
Pflegschaftsakten ergibt oder der Antragsgegner bescheinigt, dass
er dem Minderjährigen zu Unterhalt nicht verpflichtet ist, eine
Bewilligungsvoraussetzung nach § 382a Abs 1 EO nicht
vorliegt oder wenn das Unterhaltsverfahren beendet ist
</w:t>
            </w:r>
            <w:r>
              <w:rPr>
                <w:rFonts w:ascii="Arial" w:hAnsi="Arial" w:eastAsia="Arial" w:cs="Arial"/>
                <w:b/>
                <w:bCs/>
                <w:color w:val="000000"/>
                <w:position w:val="0"/>
                <w:sz w:val="20"/>
                <w:szCs w:val="20"/>
              </w:rPr>
              <w:t xml:space="preserve">(§ 399a Abs 2 EO)</w:t>
            </w:r>
            <w:r>
              <w:rPr>
                <w:rFonts w:ascii="Arial" w:hAnsi="Arial" w:eastAsia="Arial" w:cs="Arial"/>
                <w:color w:val="000000"/>
                <w:position w:val="0"/>
                <w:sz w:val="20"/>
                <w:szCs w:val="20"/>
              </w:rPr>
              <w:t xml:space="preserv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Aufhebung oder Einschränkung der einstweiligen Verfügung
nach § 382a EO wirkt ab der Verwirklichung des Aufhebungs-
beziehungsweise Einschränkungsgrundes. Dieser Zeitpunkt ist im
Beschluss über die Aufhebung oder Einschränkung der einstweiligen
Verfügung festzustellen (§ 399a Abs 3 EO).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Gründe gegen die Verpflichtung zur Zahlung eines vorläufigen
Unterhalts nach § 382 a EO können gem § 399a EO im
vereinfachten Verfahren zur Einschränkung und Aufhebung solcher
einstweiliger Verfügungen auch </w:t>
            </w:r>
            <w:r>
              <w:rPr>
                <w:rFonts w:ascii="Arial" w:hAnsi="Arial" w:eastAsia="Arial" w:cs="Arial"/>
                <w:b/>
                <w:bCs/>
                <w:color w:val="000000"/>
                <w:position w:val="0"/>
                <w:sz w:val="20"/>
                <w:szCs w:val="20"/>
              </w:rPr>
              <w:t xml:space="preserve">rückwirkend</w:t>
            </w:r>
            <w:r>
              <w:rPr>
                <w:rFonts w:ascii="Arial" w:hAnsi="Arial" w:eastAsia="Arial" w:cs="Arial"/>
                <w:color w:val="000000"/>
                <w:position w:val="0"/>
                <w:sz w:val="20"/>
                <w:szCs w:val="20"/>
              </w:rPr>
              <w:t xml:space="preserve"> geltend
gemacht werden. Das Gericht hat von Amts wegen einzuschreiten,
sobald ihm aus den Pflegschaftsakten bekannt wird, dass ein
Einschränkungs- oder Aufhebungsgrund vorliegt (RIS-Justiz
RS0006132).</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83780">
    <w:multiLevelType w:val="hybridMultilevel"/>
    <w:lvl w:ilvl="0" w:tplc="94041446">
      <w:start w:val="1"/>
      <w:numFmt w:val="decimal"/>
      <w:lvlText w:val="%1."/>
      <w:lvlJc w:val="left"/>
      <w:pPr>
        <w:ind w:left="720" w:hanging="360"/>
      </w:pPr>
    </w:lvl>
    <w:lvl w:ilvl="1" w:tplc="94041446" w:tentative="1">
      <w:start w:val="1"/>
      <w:numFmt w:val="lowerLetter"/>
      <w:lvlText w:val="%2."/>
      <w:lvlJc w:val="left"/>
      <w:pPr>
        <w:ind w:left="1440" w:hanging="360"/>
      </w:pPr>
    </w:lvl>
    <w:lvl w:ilvl="2" w:tplc="94041446" w:tentative="1">
      <w:start w:val="1"/>
      <w:numFmt w:val="lowerRoman"/>
      <w:lvlText w:val="%3."/>
      <w:lvlJc w:val="right"/>
      <w:pPr>
        <w:ind w:left="2160" w:hanging="180"/>
      </w:pPr>
    </w:lvl>
    <w:lvl w:ilvl="3" w:tplc="94041446" w:tentative="1">
      <w:start w:val="1"/>
      <w:numFmt w:val="decimal"/>
      <w:lvlText w:val="%4."/>
      <w:lvlJc w:val="left"/>
      <w:pPr>
        <w:ind w:left="2880" w:hanging="360"/>
      </w:pPr>
    </w:lvl>
    <w:lvl w:ilvl="4" w:tplc="94041446" w:tentative="1">
      <w:start w:val="1"/>
      <w:numFmt w:val="lowerLetter"/>
      <w:lvlText w:val="%5."/>
      <w:lvlJc w:val="left"/>
      <w:pPr>
        <w:ind w:left="3600" w:hanging="360"/>
      </w:pPr>
    </w:lvl>
    <w:lvl w:ilvl="5" w:tplc="94041446" w:tentative="1">
      <w:start w:val="1"/>
      <w:numFmt w:val="lowerRoman"/>
      <w:lvlText w:val="%6."/>
      <w:lvlJc w:val="right"/>
      <w:pPr>
        <w:ind w:left="4320" w:hanging="180"/>
      </w:pPr>
    </w:lvl>
    <w:lvl w:ilvl="6" w:tplc="94041446" w:tentative="1">
      <w:start w:val="1"/>
      <w:numFmt w:val="decimal"/>
      <w:lvlText w:val="%7."/>
      <w:lvlJc w:val="left"/>
      <w:pPr>
        <w:ind w:left="5040" w:hanging="360"/>
      </w:pPr>
    </w:lvl>
    <w:lvl w:ilvl="7" w:tplc="94041446" w:tentative="1">
      <w:start w:val="1"/>
      <w:numFmt w:val="lowerLetter"/>
      <w:lvlText w:val="%8."/>
      <w:lvlJc w:val="left"/>
      <w:pPr>
        <w:ind w:left="5760" w:hanging="360"/>
      </w:pPr>
    </w:lvl>
    <w:lvl w:ilvl="8" w:tplc="94041446" w:tentative="1">
      <w:start w:val="1"/>
      <w:numFmt w:val="lowerRoman"/>
      <w:lvlText w:val="%9."/>
      <w:lvlJc w:val="right"/>
      <w:pPr>
        <w:ind w:left="6480" w:hanging="180"/>
      </w:pPr>
    </w:lvl>
  </w:abstractNum>
  <w:abstractNum w:abstractNumId="23483779">
    <w:multiLevelType w:val="hybridMultilevel"/>
    <w:lvl w:ilvl="0" w:tplc="22147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83779">
    <w:abstractNumId w:val="23483779"/>
  </w:num>
  <w:num w:numId="23483780">
    <w:abstractNumId w:val="23483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5002970" Type="http://schemas.openxmlformats.org/officeDocument/2006/relationships/numbering" Target="numbering.xml"/><Relationship Id="rId463886513" Type="http://schemas.openxmlformats.org/officeDocument/2006/relationships/comments" Target="comments.xml"/><Relationship Id="rId78436acf37aa003e1" Type="http://schemas.openxmlformats.org/officeDocument/2006/relationships/hyperlink" Target="https://www.bundeskanzleramt.gv.at/agenda/familie/familienbeihilfe/basisinformation-zur-familienbeihilf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