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7646571" w:name="document"/>
    <w:bookmarkEnd w:id="17646571"/>
    <w:p/>
    <w:p>
      <w:pPr>
        <w:widowControl w:val="on"/>
        <w:pBdr/>
        <w:spacing w:before="0" w:after="280" w:line="240" w:lineRule="auto"/>
        <w:ind w:left="0" w:right="0"/>
        <w:jc w:val="left"/>
      </w:pPr>
      <w:r>
        <w:rPr>
          <w:rFonts w:ascii="Arial" w:hAnsi="Arial" w:eastAsia="Arial" w:cs="Arial"/>
          <w:color w:val="363A40"/>
          <w:sz w:val="24"/>
          <w:szCs w:val="24"/>
        </w:rPr>
        <w:t xml:space="preserve">Dokument-ID: 867863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Sanierungsplanvorschlag</w:t>
      </w:r>
    </w:p>
    <w:p>
      <w:pPr>
        <w:widowControl w:val="on"/>
        <w:pBdr/>
        <w:spacing w:before="140" w:after="240" w:line="288" w:lineRule="auto"/>
        <w:ind w:left="0" w:right="0"/>
        <w:jc w:val="left"/>
      </w:pPr>
      <w:r>
        <w:rPr>
          <w:rFonts w:ascii="Arial" w:hAnsi="Arial" w:eastAsia="Arial" w:cs="Arial"/>
          <w:color w:val="000000"/>
          <w:sz w:val="20"/>
          <w:szCs w:val="20"/>
        </w:rPr>
        <w:t xml:space="preserve">Dr. Friedrich Advokat</w:t>
      </w:r>
      <w:r>
        <w:rPr>
          <w:rFonts w:ascii="Arial" w:hAnsi="Arial" w:eastAsia="Arial" w:cs="Arial"/>
          <w:color w:val="000000"/>
          <w:sz w:val="20"/>
          <w:szCs w:val="20"/>
        </w:rPr>
        <w:br/>
        <w:t xml:space="preserve">Hauptplatz 15</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Landesgericht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29. November 2010</w:t>
      </w:r>
    </w:p>
    <w:p>
      <w:pPr>
        <w:widowControl w:val="on"/>
        <w:pBdr/>
        <w:spacing w:before="140" w:after="240" w:line="288" w:lineRule="auto"/>
        <w:ind w:left="0" w:right="0"/>
        <w:jc w:val="right"/>
      </w:pPr>
      <w:r>
        <w:rPr>
          <w:rFonts w:ascii="Arial" w:hAnsi="Arial" w:eastAsia="Arial" w:cs="Arial"/>
          <w:color w:val="000000"/>
          <w:sz w:val="20"/>
          <w:szCs w:val="20"/>
        </w:rPr>
        <w:t xml:space="preserve">GZ 36 S 45/10s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GmbH</w:t>
            </w:r>
            <w:r>
              <w:rPr>
                <w:rFonts w:ascii="Arial" w:hAnsi="Arial" w:eastAsia="Arial" w:cs="Arial"/>
                <w:color w:val="000000"/>
                <w:position w:val="0"/>
                <w:sz w:val="20"/>
                <w:szCs w:val="20"/>
                <w:shd w:val="clear" w:color="auto" w:fill="FFFFFF"/>
              </w:rPr>
              <w:br/>
              <w:t xml:space="preserve">Bahnstraße 1</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Friedrich Advokat</w:t>
            </w:r>
            <w:r>
              <w:rPr>
                <w:rFonts w:ascii="Arial" w:hAnsi="Arial" w:eastAsia="Arial" w:cs="Arial"/>
                <w:color w:val="000000"/>
                <w:position w:val="0"/>
                <w:sz w:val="20"/>
                <w:szCs w:val="20"/>
                <w:shd w:val="clear" w:color="auto" w:fill="FFFFFF"/>
              </w:rPr>
              <w:br/>
              <w:t xml:space="preserve">Hauptplatz 15</w:t>
            </w:r>
            <w:r>
              <w:rPr>
                <w:rFonts w:ascii="Arial" w:hAnsi="Arial" w:eastAsia="Arial" w:cs="Arial"/>
                <w:color w:val="000000"/>
                <w:position w:val="0"/>
                <w:sz w:val="20"/>
                <w:szCs w:val="20"/>
                <w:shd w:val="clear" w:color="auto" w:fill="FFFFFF"/>
              </w:rPr>
              <w:br/>
              <w:t xml:space="preserve">2100 Korneuburg</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Masseverwalter: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Dr. Klaus Masseverwalter</w:t>
            </w:r>
            <w:r>
              <w:rPr>
                <w:rFonts w:ascii="Arial" w:hAnsi="Arial" w:eastAsia="Arial" w:cs="Arial"/>
                <w:color w:val="000000"/>
                <w:position w:val="0"/>
                <w:sz w:val="20"/>
                <w:szCs w:val="20"/>
                <w:shd w:val="clear" w:color="auto" w:fill="FFFFFF"/>
              </w:rPr>
              <w:br/>
              <w:t xml:space="preserve">Bisambergerstraße 1</w:t>
            </w:r>
            <w:r>
              <w:rPr>
                <w:rFonts w:ascii="Arial" w:hAnsi="Arial" w:eastAsia="Arial" w:cs="Arial"/>
                <w:color w:val="000000"/>
                <w:position w:val="0"/>
                <w:sz w:val="20"/>
                <w:szCs w:val="20"/>
                <w:shd w:val="clear" w:color="auto" w:fill="FFFFFF"/>
              </w:rPr>
              <w:br/>
              <w:t xml:space="preserve">2100 Korneuburg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Sanierungsplanvorschlag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25 GS</w:t>
      </w:r>
      <w:r>
        <w:rPr>
          <w:rFonts w:ascii="Arial" w:hAnsi="Arial" w:eastAsia="Arial" w:cs="Arial"/>
          <w:color w:val="000000"/>
          <w:sz w:val="20"/>
          <w:szCs w:val="20"/>
        </w:rPr>
        <w:br/>
        <w:t xml:space="preserve">Eine GS direkt an den Masseverwalter und</w:t>
      </w:r>
      <w:r>
        <w:rPr>
          <w:rFonts w:ascii="Arial" w:hAnsi="Arial" w:eastAsia="Arial" w:cs="Arial"/>
          <w:color w:val="000000"/>
          <w:sz w:val="20"/>
          <w:szCs w:val="20"/>
        </w:rPr>
        <w:br/>
        <w:t xml:space="preserve">die bevorrechteten Gläubigerschutzverbände KSV, AKV, ISA</w:t>
      </w:r>
      <w:r>
        <w:rPr>
          <w:rFonts w:ascii="Arial" w:hAnsi="Arial" w:eastAsia="Arial" w:cs="Arial"/>
          <w:color w:val="000000"/>
          <w:sz w:val="20"/>
          <w:szCs w:val="20"/>
        </w:rPr>
        <w:br/>
        <w:t xml:space="preserve">und Creditreform versendet.</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In der allgemeinen Berichts- und Prüfungstagsatzung am 15.
November 2010 wurde der Schuldnerin der Auftrag erteilt, binnen 14
Tagen einen Sanierungsplanvorschlag einzubringen. Die Schuldnerin
unterbreitet ihren Gläubigern daher binnen offener Frist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Sanierungsplanvorschlag:</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Ansprüche der Aussonderungs- und Absonderungsberechtigten
werden durch den Sanierungsplan nicht berührt.</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Massegläubiger werden voll befriedigt.</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Insolvenzgläubiger erhalten auf ihre Forderungen eine
20 %-ige Quote, zahlbar binnen zwei Jahren ab Annahme des
Sanierungsplanvorschlags, nicht jedoch vor Rechtskraft der
Aufhebung des Konkursverfahrens.</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Beträge, die auf bestrittene Forderungen entfallen, werden nach
Maßgabe von Punkt 3 sichergestellt, wenn die Frist zur Einbringung
der Klage noch offen oder wenn die Klage bis zur
Sanierungsplantagsatzung eingebracht worden ist.</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Nachlass und die sonstigen Begünstigungen, die der
Sanierungsplan gewährt, werden für diejenigen Gläubiger hinfällig,
gegenüber welchen die Schuldnerin mit der Erfüllung des
Sanierungsplans in Verzug gerät. Ein solcher Verzug ist erst
anzunehmen, wenn die Schuldnerin eine seit mindestens sechs Wochen
fällige Verbindlichkeit trotz vom Gläubiger unter Einräumung einer
mindestens 14-tägigen Nachfrist an sie gerichteten schriftlichen
Mahnung nicht gezahlt oder den Quotenbetrag gerichtlich erlegt
hat.</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Wechselforderungen erfolgt die Bezahlung gegen Ausfolgung
der gegenständlichen Akzepte. Sollten diese Unterschriften dritter,
wechselrechtlich mithaftender Personen tragen, so erfolgt die
Bezahlung der Quote gegen Streichung der Unterschrift der
Schuldnerin; allenfalls ist auf dem Wechsel anzumerken, dass die
Haftung der Schuldnerin als getilgt anzusehen ist.</w:t>
      </w:r>
    </w:p>
    <w:p>
      <w:pPr>
        <w:numPr>
          <w:ilvl w:val="0"/>
          <w:numId w:val="19133402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Rechte der Insolvenzgläubiger gegen Bürgen oder
Mitschuldner der Schuldnerin sowie gegen Rückgriffsverpflichtete
werden durch den Sanierungsplan nicht berührt bzw beschränkt.</w:t>
      </w:r>
    </w:p>
    <w:p>
      <w:pPr>
        <w:widowControl w:val="on"/>
        <w:pBdr/>
        <w:spacing w:before="140" w:after="240" w:line="288" w:lineRule="auto"/>
        <w:ind w:left="0" w:right="0"/>
        <w:jc w:val="left"/>
      </w:pPr>
      <w:r>
        <w:rPr>
          <w:rFonts w:ascii="Arial" w:hAnsi="Arial" w:eastAsia="Arial" w:cs="Arial"/>
          <w:color w:val="000000"/>
          <w:sz w:val="20"/>
          <w:szCs w:val="20"/>
        </w:rPr>
        <w:t xml:space="preserve">Zur Angemessenheit und Erfüllbarkeit des
Sanierungsplanvorschlags:</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ist in Gesprächen mit der Hauptgläubigerin Bank
Z AG, um eine Rückstehungserklärung zu erhalten. Die Quote
soll in der 2-Jahres-Frist durch Fortführung des Unternehmens
erwirtschaftet werden, möglicherweise mit Unterstützung von dritter
Seite.</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auf Einleitung des Verfahrens gem §§ 140 ff IO.</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Schuldner GmbH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Gem § 114b IO hat der Insolvenzverwalter in der
Berichtstagsatzung unter anderem zu berichten, ob der Abschluss
eines Sanierungsplans im Interesse der Gläubiger gelegen und dessen
Erfüllung voraussichtlich möglich ist. Ist dies der Fall, dann hat
das Insolvenzgericht dem Schuldner aufzutragen, binnen 14 Tagen
einen Sanierungsplanantrag zu stellen. Diese Frist kann nicht
erstreckt werden. Ist der Sanierungsplanantrag fristgerecht und
zulässig, hat das Insolvenzgericht innerhalb von maximal sechs
Wochen eine Sanierungsplantagsatzung anzuberaumen. Das Unternehmen
des Schuldners darf erst verwertet werden, wenn der Sanierungsplan
nicht innerhalb von 90 Tagen angenommen worden ist, oder wenn er
nicht mehr dem gemeinsamen Interesse der Insolvenzgläubiger
entspricht oder wenn die Voraussetzungen für eine Fortführung auf
unbestimmte Zeit nicht mehr gegeben sind.</w:t>
      </w:r>
    </w:p>
    <w:p>
      <w:pPr>
        <w:widowControl w:val="on"/>
        <w:pBdr/>
        <w:spacing w:before="140" w:after="240" w:line="288" w:lineRule="auto"/>
        <w:ind w:left="0" w:right="0"/>
        <w:jc w:val="left"/>
      </w:pPr>
      <w:r>
        <w:rPr>
          <w:rFonts w:ascii="Arial" w:hAnsi="Arial" w:eastAsia="Arial" w:cs="Arial"/>
          <w:color w:val="000000"/>
          <w:sz w:val="20"/>
          <w:szCs w:val="20"/>
        </w:rPr>
        <w:t xml:space="preserve">Der Schuldner hat seinen Insolvenzgläubigern – wie auch bereits
beim Zwangsausgleich – die Zahlung von 20 % ihrer Forderungen
innerhalb von zwei Jahren ab Annahme des Sanierungsplanvorschlages
anzubieten.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13340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544112">
    <w:multiLevelType w:val="hybridMultilevel"/>
    <w:lvl w:ilvl="0" w:tplc="10271538">
      <w:start w:val="1"/>
      <w:numFmt w:val="decimal"/>
      <w:lvlText w:val="%1."/>
      <w:lvlJc w:val="left"/>
      <w:pPr>
        <w:ind w:left="720" w:hanging="360"/>
      </w:pPr>
    </w:lvl>
    <w:lvl w:ilvl="1" w:tplc="10271538" w:tentative="1">
      <w:start w:val="1"/>
      <w:numFmt w:val="lowerLetter"/>
      <w:lvlText w:val="%2."/>
      <w:lvlJc w:val="left"/>
      <w:pPr>
        <w:ind w:left="1440" w:hanging="360"/>
      </w:pPr>
    </w:lvl>
    <w:lvl w:ilvl="2" w:tplc="10271538" w:tentative="1">
      <w:start w:val="1"/>
      <w:numFmt w:val="lowerRoman"/>
      <w:lvlText w:val="%3."/>
      <w:lvlJc w:val="right"/>
      <w:pPr>
        <w:ind w:left="2160" w:hanging="180"/>
      </w:pPr>
    </w:lvl>
    <w:lvl w:ilvl="3" w:tplc="10271538" w:tentative="1">
      <w:start w:val="1"/>
      <w:numFmt w:val="decimal"/>
      <w:lvlText w:val="%4."/>
      <w:lvlJc w:val="left"/>
      <w:pPr>
        <w:ind w:left="2880" w:hanging="360"/>
      </w:pPr>
    </w:lvl>
    <w:lvl w:ilvl="4" w:tplc="10271538" w:tentative="1">
      <w:start w:val="1"/>
      <w:numFmt w:val="lowerLetter"/>
      <w:lvlText w:val="%5."/>
      <w:lvlJc w:val="left"/>
      <w:pPr>
        <w:ind w:left="3600" w:hanging="360"/>
      </w:pPr>
    </w:lvl>
    <w:lvl w:ilvl="5" w:tplc="10271538" w:tentative="1">
      <w:start w:val="1"/>
      <w:numFmt w:val="lowerRoman"/>
      <w:lvlText w:val="%6."/>
      <w:lvlJc w:val="right"/>
      <w:pPr>
        <w:ind w:left="4320" w:hanging="180"/>
      </w:pPr>
    </w:lvl>
    <w:lvl w:ilvl="6" w:tplc="10271538" w:tentative="1">
      <w:start w:val="1"/>
      <w:numFmt w:val="decimal"/>
      <w:lvlText w:val="%7."/>
      <w:lvlJc w:val="left"/>
      <w:pPr>
        <w:ind w:left="5040" w:hanging="360"/>
      </w:pPr>
    </w:lvl>
    <w:lvl w:ilvl="7" w:tplc="10271538" w:tentative="1">
      <w:start w:val="1"/>
      <w:numFmt w:val="lowerLetter"/>
      <w:lvlText w:val="%8."/>
      <w:lvlJc w:val="left"/>
      <w:pPr>
        <w:ind w:left="5760" w:hanging="360"/>
      </w:pPr>
    </w:lvl>
    <w:lvl w:ilvl="8" w:tplc="10271538" w:tentative="1">
      <w:start w:val="1"/>
      <w:numFmt w:val="lowerRoman"/>
      <w:lvlText w:val="%9."/>
      <w:lvlJc w:val="right"/>
      <w:pPr>
        <w:ind w:left="6480" w:hanging="180"/>
      </w:pPr>
    </w:lvl>
  </w:abstractNum>
  <w:abstractNum w:abstractNumId="75614223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544111">
    <w:multiLevelType w:val="hybridMultilevel"/>
    <w:lvl w:ilvl="0" w:tplc="85083638">
      <w:start w:val="1"/>
      <w:numFmt w:val="decimal"/>
      <w:lvlText w:val="%1."/>
      <w:lvlJc w:val="left"/>
      <w:pPr>
        <w:ind w:left="720" w:hanging="360"/>
      </w:pPr>
    </w:lvl>
    <w:lvl w:ilvl="1" w:tplc="85083638" w:tentative="1">
      <w:start w:val="1"/>
      <w:numFmt w:val="lowerLetter"/>
      <w:lvlText w:val="%2."/>
      <w:lvlJc w:val="left"/>
      <w:pPr>
        <w:ind w:left="1440" w:hanging="360"/>
      </w:pPr>
    </w:lvl>
    <w:lvl w:ilvl="2" w:tplc="85083638" w:tentative="1">
      <w:start w:val="1"/>
      <w:numFmt w:val="lowerRoman"/>
      <w:lvlText w:val="%3."/>
      <w:lvlJc w:val="right"/>
      <w:pPr>
        <w:ind w:left="2160" w:hanging="180"/>
      </w:pPr>
    </w:lvl>
    <w:lvl w:ilvl="3" w:tplc="85083638" w:tentative="1">
      <w:start w:val="1"/>
      <w:numFmt w:val="decimal"/>
      <w:lvlText w:val="%4."/>
      <w:lvlJc w:val="left"/>
      <w:pPr>
        <w:ind w:left="2880" w:hanging="360"/>
      </w:pPr>
    </w:lvl>
    <w:lvl w:ilvl="4" w:tplc="85083638" w:tentative="1">
      <w:start w:val="1"/>
      <w:numFmt w:val="lowerLetter"/>
      <w:lvlText w:val="%5."/>
      <w:lvlJc w:val="left"/>
      <w:pPr>
        <w:ind w:left="3600" w:hanging="360"/>
      </w:pPr>
    </w:lvl>
    <w:lvl w:ilvl="5" w:tplc="85083638" w:tentative="1">
      <w:start w:val="1"/>
      <w:numFmt w:val="lowerRoman"/>
      <w:lvlText w:val="%6."/>
      <w:lvlJc w:val="right"/>
      <w:pPr>
        <w:ind w:left="4320" w:hanging="180"/>
      </w:pPr>
    </w:lvl>
    <w:lvl w:ilvl="6" w:tplc="85083638" w:tentative="1">
      <w:start w:val="1"/>
      <w:numFmt w:val="decimal"/>
      <w:lvlText w:val="%7."/>
      <w:lvlJc w:val="left"/>
      <w:pPr>
        <w:ind w:left="5040" w:hanging="360"/>
      </w:pPr>
    </w:lvl>
    <w:lvl w:ilvl="7" w:tplc="85083638" w:tentative="1">
      <w:start w:val="1"/>
      <w:numFmt w:val="lowerLetter"/>
      <w:lvlText w:val="%8."/>
      <w:lvlJc w:val="left"/>
      <w:pPr>
        <w:ind w:left="5760" w:hanging="360"/>
      </w:pPr>
    </w:lvl>
    <w:lvl w:ilvl="8" w:tplc="85083638" w:tentative="1">
      <w:start w:val="1"/>
      <w:numFmt w:val="lowerRoman"/>
      <w:lvlText w:val="%9."/>
      <w:lvlJc w:val="right"/>
      <w:pPr>
        <w:ind w:left="6480" w:hanging="180"/>
      </w:pPr>
    </w:lvl>
  </w:abstractNum>
  <w:abstractNum w:abstractNumId="56544110">
    <w:multiLevelType w:val="hybridMultilevel"/>
    <w:lvl w:ilvl="0" w:tplc="967575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44110">
    <w:abstractNumId w:val="56544110"/>
  </w:num>
  <w:num w:numId="56544111">
    <w:abstractNumId w:val="56544111"/>
  </w:num>
  <w:num w:numId="756142237">
    <w:abstractNumId w:val="756142237"/>
  </w:num>
  <w:num w:numId="56544112">
    <w:abstractNumId w:val="56544112"/>
  </w:num>
  <w:num w:numId="191334029">
    <w:abstractNumId w:val="1913340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9522476" Type="http://schemas.openxmlformats.org/officeDocument/2006/relationships/numbering" Target="numbering.xml"/><Relationship Id="rId31030781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