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1954178" w:name="document"/>
    <w:bookmarkEnd w:id="81954178"/>
    <w:p/>
    <w:p>
      <w:pPr>
        <w:widowControl w:val="on"/>
        <w:pBdr/>
        <w:spacing w:before="0" w:after="280" w:line="240" w:lineRule="auto"/>
        <w:ind w:left="0" w:right="0"/>
        <w:jc w:val="left"/>
      </w:pPr>
      <w:r>
        <w:rPr>
          <w:rFonts w:ascii="Arial" w:hAnsi="Arial" w:eastAsia="Arial" w:cs="Arial"/>
          <w:color w:val="363A40"/>
          <w:sz w:val="24"/>
          <w:szCs w:val="24"/>
        </w:rPr>
        <w:t xml:space="preserve">Dokument-ID: 1068443 | Christoph Gindl -
Christian Köhler †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(Außerordentliche) Revision an den Verwaltungsgerichtshof</w:t>
      </w:r>
    </w:p>
    <w:p>
      <w:pPr>
        <w:widowControl w:val="on"/>
        <w:pBdr/>
        <w:spacing w:before="140" w:after="240" w:line="288" w:lineRule="auto"/>
        <w:ind w:left="0" w:right="0"/>
        <w:jc w:val="left"/>
      </w:pPr>
      <w:r>
        <w:rPr>
          <w:rFonts w:ascii="Arial" w:hAnsi="Arial" w:eastAsia="Arial" w:cs="Arial"/>
          <w:color w:val="000000"/>
          <w:sz w:val="20"/>
          <w:szCs w:val="20"/>
        </w:rPr>
        <w:t xml:space="preserve">(Belangtes Verwaltungsgericht)</w:t>
      </w:r>
      <w:r>
        <w:rPr>
          <w:rFonts w:ascii="Arial" w:hAnsi="Arial" w:eastAsia="Arial" w:cs="Arial"/>
          <w:color w:val="000000"/>
          <w:sz w:val="20"/>
          <w:szCs w:val="20"/>
        </w:rPr>
        <w:br/>
        <w:t xml:space="preserve">Straße</w:t>
      </w:r>
      <w:r>
        <w:rPr>
          <w:rFonts w:ascii="Arial" w:hAnsi="Arial" w:eastAsia="Arial" w:cs="Arial"/>
          <w:color w:val="000000"/>
          <w:sz w:val="20"/>
          <w:szCs w:val="20"/>
        </w:rPr>
        <w:br/>
        <w:t xml:space="preserve">PLZ, Ort</w:t>
      </w:r>
    </w:p>
    <w:p>
      <w:pPr>
        <w:widowControl w:val="on"/>
        <w:pBdr/>
        <w:spacing w:before="140" w:after="240" w:line="288" w:lineRule="auto"/>
        <w:ind w:left="0" w:right="0"/>
        <w:jc w:val="right"/>
      </w:pPr>
      <w:r>
        <w:rPr>
          <w:rFonts w:ascii="Arial" w:hAnsi="Arial" w:eastAsia="Arial" w:cs="Arial"/>
          <w:color w:val="000000"/>
          <w:sz w:val="20"/>
          <w:szCs w:val="20"/>
        </w:rPr>
        <w:t xml:space="preserve">GZ …</w:t>
      </w:r>
      <w:r>
        <w:rPr>
          <w:rFonts w:ascii="Arial" w:hAnsi="Arial" w:eastAsia="Arial" w:cs="Arial"/>
          <w:color w:val="000000"/>
          <w:sz w:val="20"/>
          <w:szCs w:val="20"/>
        </w:rPr>
        <w:b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Revisionswerber: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PLZ/Ort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PLZ/Ort</w:t>
            </w:r>
            <w:r>
              <w:rPr>
                <w:rFonts w:ascii="Arial" w:hAnsi="Arial" w:eastAsia="Arial" w:cs="Arial"/>
                <w:color w:val="000000"/>
                <w:position w:val="0"/>
                <w:sz w:val="20"/>
                <w:szCs w:val="20"/>
                <w:shd w:val="clear" w:color="auto" w:fill="FFFFFF"/>
              </w:rPr>
              <w:br/>
              <w:t xml:space="preserve">Code R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Belangtes Vw-Gericht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PLZ/Ort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(Erkenntnis/Beschluss zu GZ …; Strafe)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(Außerordentliche) Revision</w:t>
      </w:r>
    </w:p>
    <w:p>
      <w:pPr>
        <w:widowControl w:val="on"/>
        <w:pBdr/>
        <w:spacing w:before="140" w:after="240" w:line="288" w:lineRule="auto"/>
        <w:ind w:left="0" w:right="0"/>
        <w:jc w:val="left"/>
      </w:pPr>
      <w:r>
        <w:rPr>
          <w:rFonts w:ascii="Arial" w:hAnsi="Arial" w:eastAsia="Arial" w:cs="Arial"/>
          <w:color w:val="000000"/>
          <w:sz w:val="20"/>
          <w:szCs w:val="20"/>
        </w:rPr>
        <w:t xml:space="preserve">(Anm: Die außerordentliche Revision ist dann zu erheben, wenn
das Verwaltungsgericht die Zulässigkeit der Revision verneint
hat.)</w:t>
      </w:r>
    </w:p>
    <w:p>
      <w:pPr>
        <w:widowControl w:val="on"/>
        <w:pBdr/>
        <w:spacing w:before="140" w:after="240" w:line="288" w:lineRule="auto"/>
        <w:ind w:left="0" w:right="0"/>
        <w:jc w:val="left"/>
      </w:pPr>
      <w:r>
        <w:rPr>
          <w:rFonts w:ascii="Arial" w:hAnsi="Arial" w:eastAsia="Arial" w:cs="Arial"/>
          <w:color w:val="000000"/>
          <w:sz w:val="20"/>
          <w:szCs w:val="20"/>
        </w:rPr>
        <w:t xml:space="preserve">Vollmacht erteilt einschließlich</w:t>
      </w:r>
      <w:r>
        <w:rPr>
          <w:rFonts w:ascii="Arial" w:hAnsi="Arial" w:eastAsia="Arial" w:cs="Arial"/>
          <w:color w:val="000000"/>
          <w:sz w:val="20"/>
          <w:szCs w:val="20"/>
        </w:rPr>
        <w:br/>
        <w:t xml:space="preserve">Vollmacht gem § 19a RAO</w:t>
      </w:r>
      <w:r>
        <w:rPr>
          <w:rFonts w:ascii="Arial" w:hAnsi="Arial" w:eastAsia="Arial" w:cs="Arial"/>
          <w:color w:val="000000"/>
          <w:sz w:val="20"/>
          <w:szCs w:val="20"/>
        </w:rPr>
        <w:br/>
        <w:t xml:space="preserve">… Beilagen (Anm: Ein Nachweis über die unwiderrufliche
Einzahlung</w:t>
      </w:r>
      <w:r>
        <w:rPr>
          <w:rFonts w:ascii="Arial" w:hAnsi="Arial" w:eastAsia="Arial" w:cs="Arial"/>
          <w:color w:val="000000"/>
          <w:sz w:val="20"/>
          <w:szCs w:val="20"/>
        </w:rPr>
        <w:br/>
        <w:t xml:space="preserve">der Eingabegebühr (§ 24a VwGG) ist vorzulegen.)</w:t>
      </w:r>
    </w:p>
    <w:p>
      <w:pPr>
        <w:widowControl w:val="on"/>
        <w:pBdr/>
        <w:spacing w:before="140" w:after="240" w:line="288" w:lineRule="auto"/>
        <w:ind w:left="0" w:right="0"/>
        <w:jc w:val="left"/>
      </w:pPr>
      <w:r>
        <w:rPr>
          <w:rFonts w:ascii="Arial" w:hAnsi="Arial" w:eastAsia="Arial" w:cs="Arial"/>
          <w:color w:val="000000"/>
          <w:sz w:val="20"/>
          <w:szCs w:val="20"/>
        </w:rPr>
        <w:t xml:space="preserve">(Anm: Die Revision an den Verwaltungsgerichtshof (VwGH) gegen
ein Erkenntnis des Verwaltungsgerichts unterliegt Beschränkungen.
Bei einem Strafmaß von höchstens EUR 750,– und einer
tatsächlich verhängten Strafe von höchstens EUR 400,– ist eine
Revision von vorneherein unzulässig (§ 25a Abs 4 VwGG).
Eine Revision ist darüber hinaus nur zulässig, wenn sie von der
Lösung einer Rechtsfrage abhängt, der grundsätzliche Bedeutung
zukommt (Art 133 Abs 4 B-VG). Das ist etwa dann gegeben,
wenn das Verwaltungsgericht von der bisherigen Rechtsprechung
abweicht, eine solche Rechtsprechung fehlt oder die Rechtsfrage
bisher nicht einheitlich beantwortet worden ist. Das
Verwaltungsgericht hat auszusprechen, ob die Revision zulässig ist.
Hat das Verwaltungsgericht die Revision für unzulässig erklärt,
kann eine außerordentliche Revision erhoben werden, in dieser sind
aber die besonderen Gründe zu nennen, warum die Revision doch
zulässig ist (§ 28 Abs 3 VwGG).)</w:t>
      </w:r>
    </w:p>
    <w:p>
      <w:pPr>
        <w:widowControl w:val="on"/>
        <w:pBdr/>
        <w:spacing w:before="140" w:after="240" w:line="288" w:lineRule="auto"/>
        <w:ind w:left="0" w:right="0"/>
        <w:jc w:val="left"/>
      </w:pPr>
      <w:r>
        <w:rPr>
          <w:rFonts w:ascii="Arial" w:hAnsi="Arial" w:eastAsia="Arial" w:cs="Arial"/>
          <w:color w:val="000000"/>
          <w:sz w:val="20"/>
          <w:szCs w:val="20"/>
        </w:rPr>
        <w:t xml:space="preserve">Der Revisionswerber hat … [Name und Anschrift des Rechtsanwalts]
bevollmächtigt und beauftragt, ihn im gegenständlichen Verfahren zu
vertreten. Der Revisionswerber erhebt gegen das Erkenntnis/den
Beschluss des … [belangtes Verwaltungsgericht] vom … [Datum laut
Dokument] mit der Geschäftszahl … [Geschäftszahl], ihm zugestellt
am … [Datum], binnen offener sechswöchiger Frist gem § 26
Abs 1 VwGG die</w:t>
      </w:r>
    </w:p>
    <w:p>
      <w:pPr>
        <w:widowControl w:val="on"/>
        <w:pBdr/>
        <w:spacing w:before="140" w:after="240" w:line="288" w:lineRule="auto"/>
        <w:ind w:left="0" w:right="0"/>
        <w:jc w:val="center"/>
      </w:pPr>
      <w:r>
        <w:rPr>
          <w:rFonts w:ascii="Arial" w:hAnsi="Arial" w:eastAsia="Arial" w:cs="Arial"/>
          <w:color w:val="000000"/>
          <w:sz w:val="20"/>
          <w:szCs w:val="20"/>
        </w:rPr>
        <w:t xml:space="preserve">(außerordentliche) Revision.</w:t>
      </w:r>
    </w:p>
    <w:p>
      <w:pPr>
        <w:widowControl w:val="on"/>
        <w:pBdr/>
        <w:spacing w:before="140" w:after="240" w:line="288" w:lineRule="auto"/>
        <w:ind w:left="0" w:right="0"/>
        <w:jc w:val="left"/>
      </w:pPr>
      <w:r>
        <w:rPr>
          <w:rFonts w:ascii="Arial" w:hAnsi="Arial" w:eastAsia="Arial" w:cs="Arial"/>
          <w:color w:val="000000"/>
          <w:sz w:val="20"/>
          <w:szCs w:val="20"/>
        </w:rPr>
        <w:t xml:space="preserve">Der Revisionswerber wurde in seinem Recht auf Unterbleiben
rechtswidriger Bestrafungen verletzt.</w:t>
      </w:r>
    </w:p>
    <w:p>
      <w:pPr>
        <w:widowControl w:val="on"/>
        <w:pBdr/>
        <w:spacing w:before="140" w:after="240" w:line="288" w:lineRule="auto"/>
        <w:ind w:left="0" w:right="0"/>
        <w:jc w:val="left"/>
      </w:pPr>
      <w:r>
        <w:rPr>
          <w:rFonts w:ascii="Arial" w:hAnsi="Arial" w:eastAsia="Arial" w:cs="Arial"/>
          <w:color w:val="000000"/>
          <w:sz w:val="20"/>
          <w:szCs w:val="20"/>
        </w:rPr>
        <w:t xml:space="preserve">(Anm: Revisionspunkte; § 28 Abs 1 Z 4 VwGG)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Zulässigkeit der Revision</w:t>
      </w:r>
    </w:p>
    <w:p>
      <w:pPr>
        <w:widowControl w:val="on"/>
        <w:pBdr/>
        <w:spacing w:before="140" w:after="240" w:line="288" w:lineRule="auto"/>
        <w:ind w:left="0" w:right="0"/>
        <w:jc w:val="left"/>
      </w:pPr>
      <w:r>
        <w:rPr>
          <w:rFonts w:ascii="Arial" w:hAnsi="Arial" w:eastAsia="Arial" w:cs="Arial"/>
          <w:color w:val="000000"/>
          <w:sz w:val="20"/>
          <w:szCs w:val="20"/>
        </w:rPr>
        <w:t xml:space="preserve">(Anm: für den Fall einer außerordentlichen Revision)</w:t>
      </w:r>
    </w:p>
    <w:p>
      <w:pPr>
        <w:widowControl w:val="on"/>
        <w:pBdr/>
        <w:spacing w:before="140" w:after="240" w:line="288" w:lineRule="auto"/>
        <w:ind w:left="0" w:right="0"/>
        <w:jc w:val="left"/>
      </w:pPr>
      <w:r>
        <w:rPr>
          <w:rFonts w:ascii="Arial" w:hAnsi="Arial" w:eastAsia="Arial" w:cs="Arial"/>
          <w:color w:val="000000"/>
          <w:sz w:val="20"/>
          <w:szCs w:val="20"/>
        </w:rPr>
        <w:t xml:space="preserve">Entgegen den Ausführungen des belangten Verwaltungsgerichts ist
die Revision zulässig, weil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Sachverhalt</w:t>
      </w:r>
    </w:p>
    <w:p>
      <w:pPr>
        <w:widowControl w:val="on"/>
        <w:pBdr/>
        <w:spacing w:before="140" w:after="240" w:line="288" w:lineRule="auto"/>
        <w:ind w:left="0" w:right="0"/>
        <w:jc w:val="left"/>
      </w:pPr>
      <w:r>
        <w:rPr>
          <w:rFonts w:ascii="Arial" w:hAnsi="Arial" w:eastAsia="Arial" w:cs="Arial"/>
          <w:color w:val="000000"/>
          <w:sz w:val="20"/>
          <w:szCs w:val="20"/>
        </w:rPr>
        <w:t xml:space="preserve">(Anm: § 28 Abs 1 Z 3 VwGG. Der Sachverhalt sollte
insbesondere auch den Verfahrenshergang erläutern.)</w:t>
      </w:r>
    </w:p>
    <w:p>
      <w:pPr>
        <w:widowControl w:val="on"/>
        <w:pBdr/>
        <w:spacing w:before="140" w:after="240" w:line="288" w:lineRule="auto"/>
        <w:ind w:left="0" w:right="0"/>
        <w:jc w:val="left"/>
      </w:pPr>
      <w:r>
        <w:rPr>
          <w:rFonts w:ascii="Arial" w:hAnsi="Arial" w:eastAsia="Arial" w:cs="Arial"/>
          <w:color w:val="000000"/>
          <w:sz w:val="20"/>
          <w:szCs w:val="20"/>
        </w:rPr>
        <w:t xml:space="preserve">(Vorbringen)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Rechtswidrigkeit</w:t>
      </w:r>
    </w:p>
    <w:p>
      <w:pPr>
        <w:widowControl w:val="on"/>
        <w:pBdr/>
        <w:spacing w:before="140" w:after="240" w:line="288" w:lineRule="auto"/>
        <w:ind w:left="0" w:right="0"/>
        <w:jc w:val="left"/>
      </w:pPr>
      <w:r>
        <w:rPr>
          <w:rFonts w:ascii="Arial" w:hAnsi="Arial" w:eastAsia="Arial" w:cs="Arial"/>
          <w:color w:val="000000"/>
          <w:sz w:val="20"/>
          <w:szCs w:val="20"/>
        </w:rPr>
        <w:t xml:space="preserve">(Anm: die Gründe, auf die sich die Behauptung der
Rechtswidrigkeit stützt; § 28 Abs 1 Z 3 VwGG.)</w:t>
      </w:r>
    </w:p>
    <w:p>
      <w:pPr>
        <w:widowControl w:val="on"/>
        <w:pBdr/>
        <w:spacing w:before="140" w:after="240" w:line="288" w:lineRule="auto"/>
        <w:ind w:left="0" w:right="0"/>
        <w:jc w:val="left"/>
      </w:pPr>
      <w:r>
        <w:rPr>
          <w:rFonts w:ascii="Arial" w:hAnsi="Arial" w:eastAsia="Arial" w:cs="Arial"/>
          <w:color w:val="000000"/>
          <w:sz w:val="20"/>
          <w:szCs w:val="20"/>
        </w:rPr>
        <w:t xml:space="preserve">(Vorbringen)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Begehren</w:t>
      </w:r>
    </w:p>
    <w:p>
      <w:pPr>
        <w:widowControl w:val="on"/>
        <w:pBdr/>
        <w:spacing w:before="140" w:after="240" w:line="288" w:lineRule="auto"/>
        <w:ind w:left="0" w:right="0"/>
        <w:jc w:val="left"/>
      </w:pPr>
      <w:r>
        <w:rPr>
          <w:rFonts w:ascii="Arial" w:hAnsi="Arial" w:eastAsia="Arial" w:cs="Arial"/>
          <w:color w:val="000000"/>
          <w:sz w:val="20"/>
          <w:szCs w:val="20"/>
        </w:rPr>
        <w:t xml:space="preserve">Der Revisionswerber stellt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6794730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verfahrensgegenständliche Erkenntnis
</w:t>
      </w:r>
    </w:p>
    <w:p>
      <w:pPr>
        <w:numPr>
          <w:ilvl w:val="1"/>
          <w:numId w:val="6794730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aufzuheben; in eventu</w:t>
      </w:r>
    </w:p>
    <w:p>
      <w:pPr>
        <w:numPr>
          <w:ilvl w:val="1"/>
          <w:numId w:val="6794730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insofern abzuändern, als dass …;</w:t>
      </w:r>
    </w:p>
    <w:p>
      <w:pPr>
        <w:numPr>
          <w:ilvl w:val="0"/>
          <w:numId w:val="6794730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Republik Österreich den Aufwandsersatz in Höhe von …
aufzutragen.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Mandanten]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473060">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70655856">
    <w:multiLevelType w:val="hybridMultilevel"/>
    <w:lvl w:ilvl="0" w:tplc="41433031">
      <w:start w:val="1"/>
      <w:numFmt w:val="decimal"/>
      <w:lvlText w:val="%1."/>
      <w:lvlJc w:val="left"/>
      <w:pPr>
        <w:ind w:left="720" w:hanging="360"/>
      </w:pPr>
    </w:lvl>
    <w:lvl w:ilvl="1" w:tplc="41433031" w:tentative="1">
      <w:start w:val="1"/>
      <w:numFmt w:val="lowerLetter"/>
      <w:lvlText w:val="%2."/>
      <w:lvlJc w:val="left"/>
      <w:pPr>
        <w:ind w:left="1440" w:hanging="360"/>
      </w:pPr>
    </w:lvl>
    <w:lvl w:ilvl="2" w:tplc="41433031" w:tentative="1">
      <w:start w:val="1"/>
      <w:numFmt w:val="lowerRoman"/>
      <w:lvlText w:val="%3."/>
      <w:lvlJc w:val="right"/>
      <w:pPr>
        <w:ind w:left="2160" w:hanging="180"/>
      </w:pPr>
    </w:lvl>
    <w:lvl w:ilvl="3" w:tplc="41433031" w:tentative="1">
      <w:start w:val="1"/>
      <w:numFmt w:val="decimal"/>
      <w:lvlText w:val="%4."/>
      <w:lvlJc w:val="left"/>
      <w:pPr>
        <w:ind w:left="2880" w:hanging="360"/>
      </w:pPr>
    </w:lvl>
    <w:lvl w:ilvl="4" w:tplc="41433031" w:tentative="1">
      <w:start w:val="1"/>
      <w:numFmt w:val="lowerLetter"/>
      <w:lvlText w:val="%5."/>
      <w:lvlJc w:val="left"/>
      <w:pPr>
        <w:ind w:left="3600" w:hanging="360"/>
      </w:pPr>
    </w:lvl>
    <w:lvl w:ilvl="5" w:tplc="41433031" w:tentative="1">
      <w:start w:val="1"/>
      <w:numFmt w:val="lowerRoman"/>
      <w:lvlText w:val="%6."/>
      <w:lvlJc w:val="right"/>
      <w:pPr>
        <w:ind w:left="4320" w:hanging="180"/>
      </w:pPr>
    </w:lvl>
    <w:lvl w:ilvl="6" w:tplc="41433031" w:tentative="1">
      <w:start w:val="1"/>
      <w:numFmt w:val="decimal"/>
      <w:lvlText w:val="%7."/>
      <w:lvlJc w:val="left"/>
      <w:pPr>
        <w:ind w:left="5040" w:hanging="360"/>
      </w:pPr>
    </w:lvl>
    <w:lvl w:ilvl="7" w:tplc="41433031" w:tentative="1">
      <w:start w:val="1"/>
      <w:numFmt w:val="lowerLetter"/>
      <w:lvlText w:val="%8."/>
      <w:lvlJc w:val="left"/>
      <w:pPr>
        <w:ind w:left="5760" w:hanging="360"/>
      </w:pPr>
    </w:lvl>
    <w:lvl w:ilvl="8" w:tplc="41433031" w:tentative="1">
      <w:start w:val="1"/>
      <w:numFmt w:val="lowerRoman"/>
      <w:lvlText w:val="%9."/>
      <w:lvlJc w:val="right"/>
      <w:pPr>
        <w:ind w:left="6480" w:hanging="180"/>
      </w:pPr>
    </w:lvl>
  </w:abstractNum>
  <w:abstractNum w:abstractNumId="838395320">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70655855">
    <w:multiLevelType w:val="hybridMultilevel"/>
    <w:lvl w:ilvl="0" w:tplc="87288154">
      <w:start w:val="1"/>
      <w:numFmt w:val="decimal"/>
      <w:lvlText w:val="%1."/>
      <w:lvlJc w:val="left"/>
      <w:pPr>
        <w:ind w:left="720" w:hanging="360"/>
      </w:pPr>
    </w:lvl>
    <w:lvl w:ilvl="1" w:tplc="87288154" w:tentative="1">
      <w:start w:val="1"/>
      <w:numFmt w:val="lowerLetter"/>
      <w:lvlText w:val="%2."/>
      <w:lvlJc w:val="left"/>
      <w:pPr>
        <w:ind w:left="1440" w:hanging="360"/>
      </w:pPr>
    </w:lvl>
    <w:lvl w:ilvl="2" w:tplc="87288154" w:tentative="1">
      <w:start w:val="1"/>
      <w:numFmt w:val="lowerRoman"/>
      <w:lvlText w:val="%3."/>
      <w:lvlJc w:val="right"/>
      <w:pPr>
        <w:ind w:left="2160" w:hanging="180"/>
      </w:pPr>
    </w:lvl>
    <w:lvl w:ilvl="3" w:tplc="87288154" w:tentative="1">
      <w:start w:val="1"/>
      <w:numFmt w:val="decimal"/>
      <w:lvlText w:val="%4."/>
      <w:lvlJc w:val="left"/>
      <w:pPr>
        <w:ind w:left="2880" w:hanging="360"/>
      </w:pPr>
    </w:lvl>
    <w:lvl w:ilvl="4" w:tplc="87288154" w:tentative="1">
      <w:start w:val="1"/>
      <w:numFmt w:val="lowerLetter"/>
      <w:lvlText w:val="%5."/>
      <w:lvlJc w:val="left"/>
      <w:pPr>
        <w:ind w:left="3600" w:hanging="360"/>
      </w:pPr>
    </w:lvl>
    <w:lvl w:ilvl="5" w:tplc="87288154" w:tentative="1">
      <w:start w:val="1"/>
      <w:numFmt w:val="lowerRoman"/>
      <w:lvlText w:val="%6."/>
      <w:lvlJc w:val="right"/>
      <w:pPr>
        <w:ind w:left="4320" w:hanging="180"/>
      </w:pPr>
    </w:lvl>
    <w:lvl w:ilvl="6" w:tplc="87288154" w:tentative="1">
      <w:start w:val="1"/>
      <w:numFmt w:val="decimal"/>
      <w:lvlText w:val="%7."/>
      <w:lvlJc w:val="left"/>
      <w:pPr>
        <w:ind w:left="5040" w:hanging="360"/>
      </w:pPr>
    </w:lvl>
    <w:lvl w:ilvl="7" w:tplc="87288154" w:tentative="1">
      <w:start w:val="1"/>
      <w:numFmt w:val="lowerLetter"/>
      <w:lvlText w:val="%8."/>
      <w:lvlJc w:val="left"/>
      <w:pPr>
        <w:ind w:left="5760" w:hanging="360"/>
      </w:pPr>
    </w:lvl>
    <w:lvl w:ilvl="8" w:tplc="87288154" w:tentative="1">
      <w:start w:val="1"/>
      <w:numFmt w:val="lowerRoman"/>
      <w:lvlText w:val="%9."/>
      <w:lvlJc w:val="right"/>
      <w:pPr>
        <w:ind w:left="6480" w:hanging="180"/>
      </w:pPr>
    </w:lvl>
  </w:abstractNum>
  <w:abstractNum w:abstractNumId="70655854">
    <w:multiLevelType w:val="hybridMultilevel"/>
    <w:lvl w:ilvl="0" w:tplc="76964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55854">
    <w:abstractNumId w:val="70655854"/>
  </w:num>
  <w:num w:numId="70655855">
    <w:abstractNumId w:val="70655855"/>
  </w:num>
  <w:num w:numId="838395320">
    <w:abstractNumId w:val="838395320"/>
  </w:num>
  <w:num w:numId="70655856">
    <w:abstractNumId w:val="70655856"/>
  </w:num>
  <w:num w:numId="679473060">
    <w:abstractNumId w:val="679473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89459406" Type="http://schemas.openxmlformats.org/officeDocument/2006/relationships/numbering" Target="numbering.xml"/><Relationship Id="rId92575028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