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719088" w:name="document"/>
    <w:bookmarkEnd w:id="5719088"/>
    <w:p/>
    <w:p>
      <w:pPr>
        <w:widowControl w:val="on"/>
        <w:pBdr/>
        <w:spacing w:before="0" w:after="280" w:line="240" w:lineRule="auto"/>
        <w:ind w:left="0" w:right="0"/>
        <w:jc w:val="left"/>
      </w:pPr>
      <w:r>
        <w:rPr>
          <w:rFonts w:ascii="Arial" w:hAnsi="Arial" w:eastAsia="Arial" w:cs="Arial"/>
          <w:color w:val="363A40"/>
          <w:sz w:val="24"/>
          <w:szCs w:val="24"/>
        </w:rPr>
        <w:t xml:space="preserve">Dokument-ID: 583206 | FORUM Media (red) -
Markus Bulgarini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Geschäftslokal – Untermiete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Untermietvertrag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1. …</w:t>
      </w:r>
      <w:r>
        <w:rPr>
          <w:rFonts w:ascii="Arial" w:hAnsi="Arial" w:eastAsia="Arial" w:cs="Arial"/>
          <w:color w:val="000000"/>
          <w:sz w:val="20"/>
          <w:szCs w:val="20"/>
        </w:rPr>
        <w:br/>
        <w:t xml:space="preserve">[Vor- und Zuname, Adresse, Beruf, Geburtsdatum bzw Firma,
Firmenbuchnummer]</w:t>
      </w:r>
      <w:r>
        <w:rPr>
          <w:rFonts w:ascii="Arial" w:hAnsi="Arial" w:eastAsia="Arial" w:cs="Arial"/>
          <w:color w:val="000000"/>
          <w:sz w:val="20"/>
          <w:szCs w:val="20"/>
        </w:rPr>
        <w:br/>
        <w:t xml:space="preserve">vertreten durch … als Geschäftsführer, geboren am …, …
[Adresse]</w:t>
      </w:r>
      <w:r>
        <w:rPr>
          <w:rFonts w:ascii="Arial" w:hAnsi="Arial" w:eastAsia="Arial" w:cs="Arial"/>
          <w:color w:val="000000"/>
          <w:sz w:val="20"/>
          <w:szCs w:val="20"/>
        </w:rPr>
        <w:br/>
        <w:t xml:space="preserve">im Folgenden kurz Vermieter genannt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2. …</w:t>
      </w:r>
      <w:r>
        <w:rPr>
          <w:rFonts w:ascii="Arial" w:hAnsi="Arial" w:eastAsia="Arial" w:cs="Arial"/>
          <w:color w:val="000000"/>
          <w:sz w:val="20"/>
          <w:szCs w:val="20"/>
        </w:rPr>
        <w:br/>
        <w:t xml:space="preserve">[Firma, Firmenbuchnummer]</w:t>
      </w:r>
      <w:r>
        <w:rPr>
          <w:rFonts w:ascii="Arial" w:hAnsi="Arial" w:eastAsia="Arial" w:cs="Arial"/>
          <w:color w:val="000000"/>
          <w:sz w:val="20"/>
          <w:szCs w:val="20"/>
        </w:rPr>
        <w:br/>
        <w:t xml:space="preserve">vertreten durch … als Geschäftsführer, geboren am …, …
[Adresse]</w:t>
      </w:r>
      <w:r>
        <w:rPr>
          <w:rFonts w:ascii="Arial" w:hAnsi="Arial" w:eastAsia="Arial" w:cs="Arial"/>
          <w:color w:val="000000"/>
          <w:sz w:val="20"/>
          <w:szCs w:val="20"/>
        </w:rPr>
        <w:br/>
        <w:t xml:space="preserve">im Folgenden kurz Mieter genannt andererseits</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Mietgegenstand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ist Hauptmieter des Objektes Tür/Top Nr … im
Haus … [Adresse]. Aufgrund des Mietvertrages vom … ist der
Vermieter berechtigt, das bezeichnete Objekt Tür/Top Nr …
unterzuvermieten.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Nutzfläche des Geschäftslokals beträgt … m². Vermietet ist
nur der Innenraum des Mietgegenstandes. Der Mietgegenstand wurde
vom Mieter besichtigt.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untervermietet und der Mieter mietet die im
beiliegenden Lageplan rot umrandeten Geschäftsräume. Vermietet ist
lediglich der Innenraum des Mietgegenstandes.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verpflichtet sich, den Mietgegenstand ausschließlich
zur Durchführung von …/zum Betrieb von … zu verwenden.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Fakultativ</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untervermietet und der Mieter mietet in dem in
Punkt 1.1 bezeichneten Objekt den im beiliegenden Plan rot
umrandeten Raum ausschließlich zu dem in Punkt 1.3 vereinbarten
Verwendungszweck.</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Eignung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erklärt, dass sich die im Mietgegenstand befindlichen
Einrichtungen, Geräte, Anschlüsse und die übrige Ausstattung in
einem ordnungsgemäßen funktionsfähigen Erhaltungszustand
befinden.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Mietdauer</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Befristetes Mietverhältnis</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Das Mietverhältnis beginnt am … und wird auf exakt … Jahre
abgeschlossen. Es endet daher mit Ablauf des … ohne dass es einer
Aufkündigung bedürfte.</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Für die Wahl der Vertragsdauer gibt es bei Geschäftsräumlichkeiten
keine wie immer geartete Beschränkung mehr.</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Befristete Geschäftsraummietverträge können gem § 29
Abs 4 MRG unter Einhaltung der Schriftform um jeden Zeitraum
verlängert werden und zwar beliebig oft, also ohne Begrenzung der
Zahl der Verlängerungsvereinbarungen.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Unbefristetes Mietverhältnis</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Das Mietverhältnis beginnt am … und wird auf unbestimmte Zeit
abgeschlossen.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Das Mietverhältnis kann von den Vertragsteilen unter Einhaltung
einer einmonatigen/vierteljährigen/halbjährigen Kündigungsfrist auf
den letzten Tag eines jeden Monats/Kalendervierteljahres (31. März,
30. Juni, 30. September, 31. Dezember)/Kalenderjahres gerichtlich
aufgekündigt werden, vom Mieter jedoch auch außergerichtlich.</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Mietobjekte, die dem MRG ganz oder teilweise unterliegen, können
entweder einvernehmlich aufgelöst (Zustimmung aller Parteien) oder
ansonsten auch vom Mieter gerichtlich als auch außergerichtlich
aufgekündigt werden. Der Vermieter ist aber berechtigt, die
vorzeitige Aufhebung des Mietvertrages aus den Gründen des
§ 1118 ABGB zu erklären.</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Die Vereinbarung einer längeren Kündigungsfrist kann im Interesse
ausreichender Zeit für die Nachmietersuche bzw die Suche nach einem
Ersatzobjekt interessant sein. Unterliegt der Vertrag dem MRG, so
begünstigt eine längere Kündigungsfrist den Vermieter aufgrund der
Beschränkung der Kündigungsgründe des Vermieters durch § 30
MRG.</w:t>
            </w:r>
          </w:p>
        </w:tc>
      </w:tr>
    </w:tbl>
    <w:p>
      <w:pPr>
        <w:widowControl w:val="on"/>
        <w:pBdr/>
        <w:spacing w:before="140" w:after="240" w:line="288" w:lineRule="auto"/>
        <w:ind w:left="0" w:right="0"/>
        <w:jc w:val="left"/>
      </w:pPr>
      <w:r>
        <w:rPr>
          <w:rFonts w:ascii="Arial" w:hAnsi="Arial" w:eastAsia="Arial" w:cs="Arial"/>
          <w:color w:val="277DB9"/>
          <w:sz w:val="20"/>
          <w:szCs w:val="20"/>
        </w:rPr>
        <w:t xml:space="preserve">Fakultativ</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277DB9"/>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Der Mieter/Der Vermieter verzichtet jedoch innerhalb der ersten
… Jahre, gerechnet ab Beginn des Mietverhältnisses, auf die
Ausübung des Kündigungsrechts.</w:t>
            </w:r>
          </w:p>
          <w:p>
            <w:pPr>
              <w:widowControl w:val="on"/>
              <w:pBdr/>
              <w:spacing w:before="0" w:after="0" w:line="240" w:lineRule="auto"/>
              <w:ind w:left="0" w:right="0"/>
              <w:jc w:val="left"/>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Damit wird eine Mindestbindung des Vermieters oder des Mieters
erzielt. Die Vereinbarung des Kündigungsverzichts ist beschränkt
wirksam. Dem gebundenen Vertragsteil verbleibt diesfalls nur das
Recht, den Vertrag aus wichtigen Grund vorzeitig aufzuheben.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Benützungsrecht</w:t>
      </w:r>
    </w:p>
    <w:p>
      <w:pPr>
        <w:widowControl w:val="on"/>
        <w:pBdr/>
        <w:spacing w:before="140" w:after="240" w:line="288" w:lineRule="auto"/>
        <w:ind w:left="0" w:right="0"/>
        <w:jc w:val="left"/>
      </w:pPr>
      <w:r>
        <w:rPr>
          <w:rFonts w:ascii="Arial" w:hAnsi="Arial" w:eastAsia="Arial" w:cs="Arial"/>
          <w:color w:val="000000"/>
          <w:sz w:val="20"/>
          <w:szCs w:val="20"/>
        </w:rPr>
        <w:t xml:space="preserve">Vermietet ist nur der Innenraum des Bestandobjektes wie im
beigeschlossenen Lageplan eingezeichnet. Dem Mieter steht das Recht
auf Mitbenützung der gemeinsamen Gänge und Nebenräume zu.</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Mietzins</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Vorsicht: Unterliegt das Mietverhältnis zur Gänze dem MRG, sieht
§ 26 MRG Obergrenzen vor.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Mietzins setzt sich aus dem Untermietzins, den
Betriebskosten und den jeweils die Liegenschaft betreffenden
Steuern, Gebühren und öffentlichen Abgaben zusammen.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Pachtzins ist wie folgt wertgesichert vereinbart: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Wertmaßstab dient der von der Bundesanstalt Statistik
Austria monatlich verlautbarte Index der Verbraucherpreise 2010.
Schwankungen der Indexzahlen nach oben oder unten sind jedes Mal zu
berücksichtigen, sobald sie das Ausmaß von 5 % erreichen.
Dieser 5%ige Spielraum ist erstmals auf der Basis jener Indexzahl,
welche für den Monat … Geltung hat, zu berechnen. Der nach jeder
5%igen Indexänderung neu errechnete Pachtzins ist in der gleichen
Höhe solange zu entrichten, bis eine weitere Indexveränderung von
mindestens 5 % eintritt. Sollte der oben genannte Index nicht
mehr veröffentlicht werden, ist der Verpächter berechtigt, einen
anderen vergleichbaren Index, wie er von der Bundesanstalt
Statistik Austria oder deren Rechtsnachfolger oder einer ähnlichen
Institution ermittelt wird, anzuwenden. Der Verpächter ist nicht
berechtigt, Wertsicherungsansprüche für bereits vergangene
Pachtperioden geltend zu machen.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Normalerweise wird die Indexzahl des Monats des Vertragsabschlusses
gewählt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den vom Mieter zu ersetzenden Betriebskosten, öffentlichen
Abgaben und besonderen Aufwendungen für die Gemeinschaftsanlagen
gehören ausschließlich jene Kosten, die gem den §§ 21 bis 24
MRG zulässigerweise auf den Mieter überwälzt werden können und die
nachstehend angeführten sonstigen Bewirtschaftungskosten der
Liegenschaft: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von den Mietern zu tragende Anteil an den Nebenkosten
errechnet sich aus dem Verhältnis der dem Vermieter und dem Mieter
jeweils zur ausschließlichen Nutzung zur Verfügung stehenden
Flächen und beträgt …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Gesamtmietzins ist bargeldlos zahlbar am Fünften eines jeden
Monats im Voraus auf ein vom Vermieter bekannt zu gebendes Konto zu
überweisen, wobei die valutagerechte Gutschrift am Fünften des
Monats durch einen geeigneten Dauerauftrag von einem Bankkonto
zugunsten des Vermieters sicherzustellen ist.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Bei Untermietverträgen richtet sich die Fälligkeit des Mietzinses
nach § 1100 ABGB, wonach der Mietzins monatlich und zwar am
Fünften des Monats zu entrichten ist. Dabei handelt es sich
allerdings um dispositives Recht, sodass ein früherer
Fälligkeitszeitpunkt vereinbart werden kann.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Wird der Mietzins durch Banküberweisung entrichtet, so hat der
Mieter dafür Sorge zu tragen, dass der geschuldete Betrag am
Fälligkeitstag bereits auf dem Konto des Vermieters wertgestellt
ist. Der Vermieter trägt die Gefahr für die Verzögerung und das
Unterbleiben der Gutschrift, sofern die Ursache dafür nicht beim
Bankinstitut liegt.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Bestimmung ist auf Verträge anzuwenden, die ab dem 16.
März 2013 begründet wurden. Für Verträge, die vor dem 16. März 2013
begründet wurden, sind die bisherigen Bestimmungen weiter
anzuwenden; wenn solche früher begründeten Verträge jedoch
wiederholte Geldleistungen vorsehen, gelten die neuen Bestimmungen
für diejenigen Zahlungen, die ab dem 16. März 2013 fällig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Aufrechnung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wird vereinbart, dass der Mieter gegenüber dem Vermieter
vermeintliche oder tatsächlich bestehende Gegenforderungen nicht
mit dem Mietzins, den Betriebskosten oder sonstigen dem Vermieter
zustehenden Ansprüchen aufrechnen darf (Kompensationsverbot), es
sei denn, Gegenforderungen sind vom Vermieter schriftlich anerkannt
oder rechtskräftig festgestellt worden.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Aufgrund dieser Regelung muss vorerst Zahlung geleistet werden,
auch wenn sich im Nachhinein herausstellt, dass ein berechtigter
Einwand erhoben wurde.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Mietzinsminderung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erklärt, aus zeitweiligen Störungen der Wasser-,
Strom- und Gaszufuhr, Gebrechen an der Lichtleitung, Störungen im
Betrieb der Aufzüge, der Zentralheizungs- und Kühlanlage und
ähnlichen Störungen und Gebrechen gegenüber dem Vermieter keine
Rechtsfolgen abzuleiten, sofern der Vermieter solche Störungen
nicht verschuldet hat.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Kaution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Höhe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übergibt dem Vermieter bei Abschluss dieses
Mietvertrags als Kaution einen Geldbetrag in Höhe von
EUR …/ein Überbringersparbuch über EUR …, das nicht durch
ein Losungswort gesichert oder in anderer Weise in seiner
Verwertbarkeit beschränkt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Veranlagung und Verzinsung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einer Barkaution wird der Vermieter nach seiner Wahl
dieses Bargeld entweder auf einem Sparbuch oder
Sparkonto/Festgeldkonto in Form eines Anderkontos veranlagen, wobei
das Sparbuch bzw das Anderkonto zum Zeitpunkt der Veranlagung und
im Hinblick auf die angesichts der Mietdauer mögliche Bindung
brachenübliche Zinsen zu bieten hat. Vorbehaltlich Gegenforderungen
wird der Vermieter dem Mieter nach Rückstellung des Mietgegenstands
die Kaution zuzüglich Zinsen abzüglich Veranlagungskosten
ausfolgen.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Bankgarantie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Barkaution/das Sparbuch kann durch eine abstrakte
Bankgarantie in gleicher Höhe mit einer Laufzeit von mindestens
einem Jahr ersetzt werden, mit der sich die Bank verpflichtet, über
erste Anforderung und ohne Prüfung des Rechtsgrundes Forderungen
des Vermieters aus diesem Vertrag binnen drei Banktagen an diesen
zu bezahlen. Der Mieter verpflichtet sich, im Falle einer
befristeten Garantie bis drei Kalendermonate vor Ablauf der
Garantie unaufgefordert eine neue oder eine Verlängerungserklärung
der Bank unter Berücksichtigung einer allfälligen Erhöhung
beizubringen, widrigenfalls der Vermieter berechtigt ist, auch ohne
Vorliegen fälliger Forderungen die Garantie abzurufen und den
erlangten Betrag als Barkaution zu widmen.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Ergänzungspflicht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berechtigter Inanspruchnahme der Kaution aus dem Titel
fälliger Forderungen durch den Vermieter ist der Mieter
verpflichtet, die Kaution wieder auf die letztgültige volle Höhe zu
ergänzen.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Verwendungszweck</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Kaution dient zur Sicherstellung für sämtliche Forderungen
des Vermieters gegen den Mieter aus dem Mietverhältnis,
insbesondere wegen Zinsausfällen betreffend das gegenständliche
Mietobjekt, welcher Art auch immer (einschließlich anteiliger
Betriebskosten), Abnützung, Beschädigung, Devastierung des
Mietgegenstandes, Entfernung oder Vernichtung von Inventar und
Beschädigungen anderer Teile des Hauses, jeweils durch den Mieter
oder seine Leute gem § 1111 ABGB. Die Kaution gilt daher auch
zur Absicherung des Vermieters für eine ordnungsgemäße Rückgabe des
Mietgegenstandes nach Ablauf der Mietzeit.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Zurückstellung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Zurückstellung wird – sofern keine Beschädigungen am
Mietobjekt bestehen – unverzüglich nach Rückstellung des
Mietobjekts fällig. Sollten hingegen Beschädigungen am
Bestandobjekt bestehen, wird die Rückzahlung der Kaution erst nach
einer angemessenen Frist zur Feststellung der Kosten der Behebung
dieser Beschädigungen fällig.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Übergabe/Übernahme</w:t>
      </w:r>
    </w:p>
    <w:p>
      <w:pPr>
        <w:widowControl w:val="on"/>
        <w:pBdr/>
        <w:spacing w:before="140" w:after="240" w:line="288" w:lineRule="auto"/>
        <w:ind w:left="0" w:right="0"/>
        <w:jc w:val="left"/>
      </w:pPr>
      <w:r>
        <w:rPr>
          <w:rFonts w:ascii="Arial" w:hAnsi="Arial" w:eastAsia="Arial" w:cs="Arial"/>
          <w:color w:val="000000"/>
          <w:sz w:val="20"/>
          <w:szCs w:val="20"/>
        </w:rPr>
        <w:t xml:space="preserve">Mit Abschluss dieses Mietvertrages mietet der Mieter das in
Punkt 1 genannte Mietobjekt. Er bestätigt gleichzeitig, dass sich
der Mietgegenstand seiner Ansicht nach bei Übergabe in einem sehr
guten und brauchbaren Zustand befunden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Erhaltung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verpflichtet, alles für die Erhaltung des guten
Zustandes des Inneren des Mietobjektes zu unternehmen, und
verpflichtet sich zum Ersatz jedes Schadens, der dem Vermieter aus
unsachgemäßer Behandlung des Mietobjektes durch ihn und seine Leute
(§ 1111 ABGB) entsteht. Die Erhaltungspflicht des Mieters
umfasst jedoch nicht solche Arbeiten, die zur Behebung von ernsten
Schäden des Hauses, zur Beseitigung einer vom Mietgegenstand
ausgehenden erheblichen Gesundheitsgefährdung (§ 3 Abs 2
Z 2 MRG) oder zur Erhaltung der mitvermieteten Heiztherme und
den mitvermieteten Warmwasserboiler erforderlich sind.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 gilt auch für zufällig im Mietobjekt aufgetretene Schäden.
Alle derartigen Schäden sind bei Gefahr im Verzug sofort, ansonsten
jedenfalls binnen eines Monats zu beheben.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hat allfällige Schäden am Mietobjekt, an den
allgemeinen Teilen des Hauses und den allgemeinen Einrichtungen
ohne Verzug dem Vermieter zu melden.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Schäden, die infolge nicht umgehender Anzeige entstanden
sind, haftet der Mieter, sofern eine rechtzeitige Anzeige den
Schaden geringer gehalten hätte und ihn an der verspäteten Anzeige
ein Verschulden trifft.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verpflichtet, den Mietgegenstand und die für den
Mietgegenstand bestimmten Einrichtungen, wie im Besonderen die
Lichtleitungs-, Gasleitungs-, Wasserleitungs-, Beheizungs-
(einschließlich von zentralen Wärmeversorgungsanlagen) und
sanitären Anlagen so zu warten, dass dem Vermieter und den anderen
Mietern des Hauses kein Nachteil erwächst. Insbesondere hat der
Mieter die mitvermietete Heiztherme und den mitvermieteten
Warmwasserboiler regelmäßig durch hierzu befugte Fachleute im
erforderlichen Umfang warten zu lassen und dem Vermieter die
Wartung nachzuweisen.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Ferner hat der Mieter den Mietgegenstand und die für den
Mietgegenstand bestimmten Einrichtungen, wie im Besonderen die
Lichtleitungs-, Gasleitungs-, Wasserleitungs-, (einschließlich von
zentralen Wärmeversorgungsanlagen) und sanitären Anlagen auf eigene
Kosten durch befugte Professionisten so instandhalten zu lassen,
dass dem Vermieter und den anderen Mietern kein Nachteil erwächst..
Davon ausgenommen sind die Behebung von ernsten Schäden des Hauses,
die Beseitigung einer vom Mietgegenstand ausgehenden erheblichen
Gesundheitsgefährdung und die Erhaltung der mitvermieteten
Heiztherme und des mitvermieteten Warmwasserboilers. Erweist sich
eine Reparatur derartiger Einrichtungen als unmöglich, so
verpflichtet sich der Mieter, auf eigene Kosten für eine Erneuerung
zu sorgen.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Verlegung zusätzlicher Energie- und Nachrichtenleitungen und
anderer technischer Einrichtungen im Inneren des Mietgegenstandes
und auch in den allgemeinen Teilen des Hauses ist, sofern solche
Installationen nicht vom Gesetz ausdrücklich erlaubt sind, nur mit
schriftlicher Zustimmung des Vermieters statthaft. Leitungen sind
unter Putz zu verlegen.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Grundsätzlich kann es einem Mieter im ortsüblichen Ausmaß nicht
untersagt werden, solche Leitungen zu verlegen, allerdings wird die
Formulierung zur beträchtlichen Einschränkung derartiger Vorhaben
dienlich sein.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Derartige Installationen dürfen – vorbehaltlich des § 9 MRG
– nur bei sonstiger Verpflichtung des Mieters zur Wiederherstellung
des vorigen Zustandes nach den entsprechenden technischen
Vorschriften und nur durch dazu befugte Professionisten ausgeführt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Mieter ist es ausdrücklich untersagt, Geräte aller Art zu
installieren, welche nicht den zum jeweiligen Zeitpunkt gültigen
Sicherheitsvorschriften entsprechen. Insbesondere dürfen Strom- und
Gasgeräte nicht angeschlossen werden, welche nicht den
österreichischen Sicherheitsstandards entsprechen (ÖVE udgl).</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Untervermietung und
Weitergabe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nicht berechtigt das Mietobjekt ohne schriftliche
Zustimmung des Vermieters entgeltlich oder unentgeltlich, ganz oder
teilweise dritten Personen zu überlassen, unterzuvermieten oder
weiterzugeben.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Da auf Untermietverträge § 12 MRG nicht anzuwenden ist, kommt
dem Recht, die Mietrechte in eine Gesellschaft einzubringen oder
das im Mietgegenstand betriebene Unternehmen zu veräußern,
besondere Bedeutung zu. Die in weiterer Folge vorgeschlagene
Kompromisslösung gibt dem Mieter die Möglichkeit, die Rechtsform
seines Unternehmens zu ändern, ohne dass der Vermieter daraus
Ansprüche ableiten könnte, solange der Mieter maßgeblichen Einfluss
auf das Unternehmen hat. Veräußert der Mieter das Unternehmen, ist
zur Vermeidung gespaltener Mietverhältnisse ein Eintritt des
Erwerbers in den Mietvertrag vorgesehen. Der Vermieter erhält zum
Ausgleich das Recht, den Mietzins auf das angemessene Niveau zu
heben.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aber berechtigt, die Mietrechte in eine
Gesellschaft einzubringen, an der er maßgeblich beteiligt ist und
deren Gesellschaftszweck dem angegebenen Verwendungszweck des
Mietobjekts entspricht, ohne dass der Vermieter aus diesem Titel
berechtigt wäre, den Mietzins anzuheben. Ist der Mieter an der
Gesellschaft, in die er die Mietrechte einbringt, nicht mehr
maßgeblich beteiligt, ist der Vermieter berechtigt, die Anhebung
des Untermietzinses auf das ortsüblich angemessene Niveau zu
verlangen.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Veräußert der Mieter das im Mietgegenstand betriebene
Unternehmen, gehen die Mietrechte auf den Erwerber über. Der Mieter
ist verpflichtet, diesen Mietvertrag auf den Erwerber des
Unternehmens zu überbinden. Der Vermieter ist aber im Fall der
Unternehmensveräußerung berechtigt, die Anhebung des
Untermietzinses auf das ortsüblich angemessene Niveau zu
verlangen.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bei sonstigem Schadenersatz verpflichtet, dem
Vermieter die Einbringung der Mietrechte in eine Gesellschaft, eine
Änderung der Beteiligungsverhältnisse an einer solchen Gesellschaft
und eine Veräußerung des Unternehmens unverzüglich anzuzeigen.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Umbauarbeiten</w:t>
      </w:r>
    </w:p>
    <w:p>
      <w:pPr>
        <w:widowControl w:val="on"/>
        <w:pBdr/>
        <w:spacing w:before="140" w:after="240" w:line="288" w:lineRule="auto"/>
        <w:ind w:left="0" w:right="0"/>
        <w:jc w:val="left"/>
      </w:pPr>
      <w:r>
        <w:rPr>
          <w:rFonts w:ascii="Arial" w:hAnsi="Arial" w:eastAsia="Arial" w:cs="Arial"/>
          <w:color w:val="000000"/>
          <w:sz w:val="20"/>
          <w:szCs w:val="20"/>
        </w:rPr>
        <w:t xml:space="preserve">Der Mieter ist berechtigt, Ausbesserungen oder bauliche
Änderungen vorzunehmen, sofern diese im Einklang mit den
öffentlich-rechtlichen Bestimmungen 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Benützung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Vermietet ist der Innenraum des Bestandobjektes wie im
beigeschlossenen Lageplan rot eingezeichnet. Die Außenflächen des
Hauses sind nicht mitvermietet.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Untersagt ist das Abstellen von Fahrzeugen jeder Art im
Mietobjekt und in den allgemeinen Teilen des Hauses und der
Liegenschaft, außer auf den hiefür gesondert bezeichneten
Stellplätzen.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Untermieter verpflichtet sich zur Einhaltung der Hausordnung
und des mit dem Vermieter abgeschlossenen Hauptmietvertrages, die
einen integrierenden Bestandteil dieses Vertrages bilden. Mit
seiner Unterschrift bestätigt der Untermieter, dass ihm ein
Exemplar der Hausordnung ausgefolgt wurde.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verpflichtet, dem Vermieter oder einem von ihm
Beauftragten, jedenfalls auch Angehörigen der vom Vermieter
allenfalls beauftragten Hausverwaltung, bei Gefahr in Verzug
jederzeit, ansonsten gegen schriftliche Verständigung das Betreten
des Mietgegenstandes zu ermöglichen, dasselbe gilt für Personen,
die im Mietgegenstand ihren beruflichen Verpflichtungen nachkommen
müssen (Rauchfangkehrer oder andere Handwerker).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berechtigt, in ortsüblicher Weise und im
Einvernehmen mit dem Vermieter Schilder, Firmentafeln und
Reklametafeln sowie Rundfunk- und Satellitenempfangsanlagen
anzubringen.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Rückgabe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der Beendigung des Mietverhältnisses hat der Mieter den
Mietgegenstand dem Vermieter besenrein, geräumt von allen
Fahrnissen und mit sämtlichen Schlüsseln in gutem Zustand
zurückzustellen.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Auflösung des Mietverhältnisses steht dem Mieter das Recht
zu, Einbauten zu entfernen, sofern dies ohne wesentliche Verletzung
der Substanz möglich ist. Der Mieter ist nur berechtigt
Aufwandersatz für Verbesserungen des Mietgegenstandes vom Vermieter
zu verlangen, wenn der Vermieter der Verbesserungsarbeit
schriftlich zugestimmt hat.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verspäteter Übergabe schuldet der Mieter dem Vermieter
ein Benützungsentgelt in der Höhe des zuletzt geschuldeten
Mietzinses bis zu dem der tatsächlichen Übergabe folgenden
Monatsletzten.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Vertragsaufhebung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Vermieter steht jederzeit das Recht zu, den Mietvertrag im
Sinne der Bestimmungen des § 1118 ABGB fristlos
aufzulösen.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 gilt insbesondere bei Nichtbezahlung des Mietzinses samt
Betriebskosten, bei erheblich nachteiligem Gebrauch des
Mietgegenstandes und unleidlichem Verhalten gegenüber dem Vermieter
und anderen Personen und bei Verletzung von wesentlichen
Bestimmungen dieses Vertrages.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ist zur sofortigen Auflösung berechtigt, wenn über
das Vermögen des Mieters ein Insolvenzverfahren in erster Instanz
eröffnet wurde bzw ein Insolvenzantrag mangels kostendeckenden
Vermögens abgewiesen wurde.</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Nicht jede Vertragsverletzung versetzt den Vermieter in die Lage,
gem § 1118 ABGB die Vertragsauflösung zu erklären. Die
Verletzung irgendeiner Nebenabrede dieses Vertrages wird dazu
regelmäßig nicht ausreichen.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13. Schlüssel</w:t>
      </w:r>
    </w:p>
    <w:p>
      <w:pPr>
        <w:widowControl w:val="on"/>
        <w:pBdr/>
        <w:spacing w:before="140" w:after="240" w:line="288" w:lineRule="auto"/>
        <w:ind w:left="0" w:right="0"/>
        <w:jc w:val="left"/>
      </w:pPr>
      <w:r>
        <w:rPr>
          <w:rFonts w:ascii="Arial" w:hAnsi="Arial" w:eastAsia="Arial" w:cs="Arial"/>
          <w:color w:val="000000"/>
          <w:sz w:val="20"/>
          <w:szCs w:val="20"/>
        </w:rPr>
        <w:t xml:space="preserve">Der Vermieter übergibt dem Mieter anlässlich des
Vertragsabschlusses einen Satz Schlüssel, weitere Schlüssel hat der
Mieter auf eigene Kosten herstellen zu lassen.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14. Mietzinsvorauszahlung</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Dieser mögliche Zusatz sollte nur nach besonderer Abschätzung des
Risikos und Rücksprache mit geeigneten Beratern in den Vertrag
aufgenommen werden.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leistet eine Mietzinsvorauszahlung in Höhe von
EUR …</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Diese Vorauszahlung deckt den Untermietzins exklusive
Betriebskosten für den Zeitraum bis zum … Ab diesem Tag gelten die
weiter oben vereinbarten Bestimmungen über Fälligkeiten und
Zahlungsmodalitäten.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Durch diese Vorauszahlung wird ein Anteil von monatlich
EUR … auf den Mietzins für den Zeitraum bis zum …
vorausgeleistet und ist nur die Differenz zum vereinbarten Mietzins
zuzüglich Betriebskosten monatlich zu entrichten.</w:t>
      </w:r>
    </w:p>
    <w:p>
      <w:pPr>
        <w:widowControl w:val="on"/>
        <w:pBdr/>
        <w:spacing w:before="140" w:after="240" w:line="288" w:lineRule="auto"/>
        <w:ind w:left="0" w:right="0"/>
        <w:jc w:val="left"/>
      </w:pPr>
      <w:r>
        <w:rPr>
          <w:rFonts w:ascii="Arial" w:hAnsi="Arial" w:eastAsia="Arial" w:cs="Arial"/>
          <w:color w:val="277DB9"/>
          <w:sz w:val="20"/>
          <w:szCs w:val="20"/>
        </w:rPr>
        <w:t xml:space="preserve">Nach Ablauf des genannten Zeitraumes gelten die weiter oben
vereinbarten Modalitäten.</w:t>
      </w:r>
    </w:p>
    <w:p>
      <w:pPr>
        <w:widowControl w:val="on"/>
        <w:pBdr/>
        <w:spacing w:before="140" w:after="240" w:line="288" w:lineRule="auto"/>
        <w:ind w:left="0" w:right="0"/>
        <w:jc w:val="left"/>
      </w:pPr>
      <w:r>
        <w:rPr>
          <w:rFonts w:ascii="Arial" w:hAnsi="Arial" w:eastAsia="Arial" w:cs="Arial"/>
          <w:b/>
          <w:bCs/>
          <w:color w:val="277DB9"/>
          <w:sz w:val="20"/>
          <w:szCs w:val="20"/>
        </w:rPr>
        <w:t xml:space="preserve">Hinweis:</w:t>
      </w:r>
      <w:r>
        <w:rPr>
          <w:rFonts w:ascii="Arial" w:hAnsi="Arial" w:eastAsia="Arial" w:cs="Arial"/>
          <w:color w:val="277DB9"/>
          <w:sz w:val="20"/>
          <w:szCs w:val="20"/>
        </w:rPr>
        <w:br/>
        <w:t xml:space="preserve">Auch für Mietzinsvorauszahlungen gelten die Bestimmungen des
§ 16 Abs 1 MRG (siehe Hinweis 1 zu Punkt 3). Daher kann
auf diesem Weg nur die Fälligkeit vorverlegt, aber keine
betragliche Erhöhung erreicht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15. Kosten und Gebühren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mit der Errichtung dieses Vertrages verbundenen Kosten trägt
der Vermieter.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Kosten der Vergebührung dieses Vertrages trägt der
Mieter.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Zum Zweck der Gebührenbemessung wird festgestellt, dass der auf
den Mietgegenstand entfallende Gesamtmietzins einschließlich der
Betriebskosten und öffentlichen Abgaben im Jahresdurchschnitt rund
EUR … inklusive Umsatzsteuer beträgt.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16. Schriftform</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halten fest, dass mündliche Nebenabreden zu
diesem Vertrag nicht bestehen und Modifikationen dieses Vertrages
nur in schriftlicher Form erfolgen können. Dies gilt selbst für
eine Vereinbarung, gemäß welcher von der Schriftform abgegangen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17. Sonstiges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Insoweit dieser Vertrag keine Regelung vorsieht, sind die
Bestimmungen des ABGB ergänzend anzuwenden.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irgendeine Bestimmung dieses Vertrages rechtlich
unwirksam sein, so bleibt die Gültigkeit der übrigen Bestimmungen
dieses Vertrages unberührt.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erklärt, zum Abschluss dieses Vertrages von
allfälligen Mitmietern ausdrücklich bevollmächtigt zu sein und hält
den Mieter hiefür schad- und klaglos.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18. Ausfertigungen</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dreifacher Ausfertigung errichtet, deren
eine für den Vermieter, die andere für den Mieter und die dritte
für das Finanzamt für Gebühren und Verkehrssteuern bestimmt
ist.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01230">
    <w:multiLevelType w:val="hybridMultilevel"/>
    <w:lvl w:ilvl="0" w:tplc="19588471">
      <w:start w:val="1"/>
      <w:numFmt w:val="decimal"/>
      <w:lvlText w:val="%1."/>
      <w:lvlJc w:val="left"/>
      <w:pPr>
        <w:ind w:left="720" w:hanging="360"/>
      </w:pPr>
    </w:lvl>
    <w:lvl w:ilvl="1" w:tplc="19588471" w:tentative="1">
      <w:start w:val="1"/>
      <w:numFmt w:val="lowerLetter"/>
      <w:lvlText w:val="%2."/>
      <w:lvlJc w:val="left"/>
      <w:pPr>
        <w:ind w:left="1440" w:hanging="360"/>
      </w:pPr>
    </w:lvl>
    <w:lvl w:ilvl="2" w:tplc="19588471" w:tentative="1">
      <w:start w:val="1"/>
      <w:numFmt w:val="lowerRoman"/>
      <w:lvlText w:val="%3."/>
      <w:lvlJc w:val="right"/>
      <w:pPr>
        <w:ind w:left="2160" w:hanging="180"/>
      </w:pPr>
    </w:lvl>
    <w:lvl w:ilvl="3" w:tplc="19588471" w:tentative="1">
      <w:start w:val="1"/>
      <w:numFmt w:val="decimal"/>
      <w:lvlText w:val="%4."/>
      <w:lvlJc w:val="left"/>
      <w:pPr>
        <w:ind w:left="2880" w:hanging="360"/>
      </w:pPr>
    </w:lvl>
    <w:lvl w:ilvl="4" w:tplc="19588471" w:tentative="1">
      <w:start w:val="1"/>
      <w:numFmt w:val="lowerLetter"/>
      <w:lvlText w:val="%5."/>
      <w:lvlJc w:val="left"/>
      <w:pPr>
        <w:ind w:left="3600" w:hanging="360"/>
      </w:pPr>
    </w:lvl>
    <w:lvl w:ilvl="5" w:tplc="19588471" w:tentative="1">
      <w:start w:val="1"/>
      <w:numFmt w:val="lowerRoman"/>
      <w:lvlText w:val="%6."/>
      <w:lvlJc w:val="right"/>
      <w:pPr>
        <w:ind w:left="4320" w:hanging="180"/>
      </w:pPr>
    </w:lvl>
    <w:lvl w:ilvl="6" w:tplc="19588471" w:tentative="1">
      <w:start w:val="1"/>
      <w:numFmt w:val="decimal"/>
      <w:lvlText w:val="%7."/>
      <w:lvlJc w:val="left"/>
      <w:pPr>
        <w:ind w:left="5040" w:hanging="360"/>
      </w:pPr>
    </w:lvl>
    <w:lvl w:ilvl="7" w:tplc="19588471" w:tentative="1">
      <w:start w:val="1"/>
      <w:numFmt w:val="lowerLetter"/>
      <w:lvlText w:val="%8."/>
      <w:lvlJc w:val="left"/>
      <w:pPr>
        <w:ind w:left="5760" w:hanging="360"/>
      </w:pPr>
    </w:lvl>
    <w:lvl w:ilvl="8" w:tplc="19588471" w:tentative="1">
      <w:start w:val="1"/>
      <w:numFmt w:val="lowerRoman"/>
      <w:lvlText w:val="%9."/>
      <w:lvlJc w:val="right"/>
      <w:pPr>
        <w:ind w:left="6480" w:hanging="180"/>
      </w:pPr>
    </w:lvl>
  </w:abstractNum>
  <w:abstractNum w:abstractNumId="28801229">
    <w:multiLevelType w:val="hybridMultilevel"/>
    <w:lvl w:ilvl="0" w:tplc="36959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01229">
    <w:abstractNumId w:val="28801229"/>
  </w:num>
  <w:num w:numId="28801230">
    <w:abstractNumId w:val="288012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37007522" Type="http://schemas.openxmlformats.org/officeDocument/2006/relationships/numbering" Target="numbering.xml"/><Relationship Id="rId89665985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