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1455460" w:name="document"/>
    <w:bookmarkEnd w:id="81455460"/>
    <w:p/>
    <w:p>
      <w:pPr>
        <w:widowControl w:val="on"/>
        <w:pBdr/>
        <w:spacing w:before="0" w:after="280" w:line="240" w:lineRule="auto"/>
        <w:ind w:left="0" w:right="0"/>
        <w:jc w:val="left"/>
      </w:pPr>
      <w:r>
        <w:rPr>
          <w:rFonts w:ascii="Arial" w:hAnsi="Arial" w:eastAsia="Arial" w:cs="Arial"/>
          <w:color w:val="363A40"/>
          <w:sz w:val="24"/>
          <w:szCs w:val="24"/>
        </w:rPr>
        <w:t xml:space="preserve">Dokument-ID: 611072 | Alexander Kdolsky - Karin
Zahiragic - Markus Bulgarini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Typ 30 K1 Kompromiss-Vertragsmuster für eine Wohnung des Typs
30 bei Anwendbarkeit des KSchG</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Kompromiss-Vertragsmuster für eine Dienstwohnung</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Mietvertrag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am untenstehenden Tag zwischen</w:t>
      </w:r>
    </w:p>
    <w:p>
      <w:pPr>
        <w:widowControl w:val="on"/>
        <w:pBdr/>
        <w:spacing w:before="140" w:after="240" w:line="288" w:lineRule="auto"/>
        <w:ind w:left="0" w:right="0"/>
        <w:jc w:val="left"/>
      </w:pPr>
      <w:r>
        <w:rPr>
          <w:rFonts w:ascii="Arial" w:hAnsi="Arial" w:eastAsia="Arial" w:cs="Arial"/>
          <w:color w:val="000000"/>
          <w:sz w:val="20"/>
          <w:szCs w:val="20"/>
        </w:rPr>
        <w:t xml:space="preserve">1. …</w:t>
      </w:r>
      <w:r>
        <w:rPr>
          <w:rFonts w:ascii="Arial" w:hAnsi="Arial" w:eastAsia="Arial" w:cs="Arial"/>
          <w:color w:val="000000"/>
          <w:sz w:val="20"/>
          <w:szCs w:val="20"/>
        </w:rPr>
        <w:br/>
        <w:t xml:space="preserve">[Vor- und Zuname, akad Titel, Geburtsdatum, Beruf,</w:t>
      </w:r>
      <w:r>
        <w:rPr>
          <w:rFonts w:ascii="Arial" w:hAnsi="Arial" w:eastAsia="Arial" w:cs="Arial"/>
          <w:color w:val="000000"/>
          <w:sz w:val="20"/>
          <w:szCs w:val="20"/>
        </w:rPr>
        <w:br/>
        <w:t xml:space="preserve">Adresse (bisher gewöhnlicher Aufenthalt)]</w:t>
      </w:r>
      <w:r>
        <w:rPr>
          <w:rFonts w:ascii="Arial" w:hAnsi="Arial" w:eastAsia="Arial" w:cs="Arial"/>
          <w:color w:val="000000"/>
          <w:sz w:val="20"/>
          <w:szCs w:val="20"/>
        </w:rPr>
        <w:br/>
        <w:t xml:space="preserve">im Folgenden kurz </w:t>
      </w:r>
      <w:r>
        <w:rPr>
          <w:rFonts w:ascii="Arial" w:hAnsi="Arial" w:eastAsia="Arial" w:cs="Arial"/>
          <w:b/>
          <w:bCs/>
          <w:color w:val="000000"/>
          <w:sz w:val="20"/>
          <w:szCs w:val="20"/>
        </w:rPr>
        <w:t xml:space="preserve">„Mieter“</w:t>
      </w:r>
      <w:r>
        <w:rPr>
          <w:rFonts w:ascii="Arial" w:hAnsi="Arial" w:eastAsia="Arial" w:cs="Arial"/>
          <w:color w:val="000000"/>
          <w:sz w:val="20"/>
          <w:szCs w:val="20"/>
        </w:rPr>
        <w:t xml:space="preserve"> genannt einerseits</w:t>
      </w:r>
    </w:p>
    <w:p>
      <w:pPr>
        <w:widowControl w:val="on"/>
        <w:pBdr/>
        <w:spacing w:before="140" w:after="240" w:line="288" w:lineRule="auto"/>
        <w:ind w:left="0" w:right="0"/>
        <w:jc w:val="left"/>
      </w:pPr>
      <w:r>
        <w:rPr>
          <w:rFonts w:ascii="Arial" w:hAnsi="Arial" w:eastAsia="Arial" w:cs="Arial"/>
          <w:b/>
          <w:bCs/>
          <w:color w:val="000000"/>
          <w:sz w:val="20"/>
          <w:szCs w:val="20"/>
        </w:rPr>
        <w:t xml:space="preserve">Hinweis:</w:t>
      </w:r>
      <w:r>
        <w:rPr>
          <w:rFonts w:ascii="Arial" w:hAnsi="Arial" w:eastAsia="Arial" w:cs="Arial"/>
          <w:color w:val="000000"/>
          <w:sz w:val="20"/>
          <w:szCs w:val="20"/>
        </w:rPr>
        <w:br/>
        <w:t xml:space="preserve">Das Geburtsdatum des Mieters kann bei einer späteren
Forderungsexekution auf Dienstbezüge sehr dienlich sein, auch für
Meldeanfragen bezüglich verschwundener Mieter wird ein Geburtsdatum
benötigt. Der bisherige gewöhnliche Aufenthalt kann auch zu
Nachforschungszwecken dienlich sein.</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color w:val="000000"/>
          <w:sz w:val="20"/>
          <w:szCs w:val="20"/>
        </w:rPr>
        <w:t xml:space="preserve">2. …</w:t>
      </w:r>
      <w:r>
        <w:rPr>
          <w:rFonts w:ascii="Arial" w:hAnsi="Arial" w:eastAsia="Arial" w:cs="Arial"/>
          <w:color w:val="000000"/>
          <w:sz w:val="20"/>
          <w:szCs w:val="20"/>
        </w:rPr>
        <w:br/>
        <w:t xml:space="preserve">[Vor- und Zuname, akad Titel, Geburtsdatum, Beruf, Adresse]</w:t>
      </w:r>
      <w:r>
        <w:rPr>
          <w:rFonts w:ascii="Arial" w:hAnsi="Arial" w:eastAsia="Arial" w:cs="Arial"/>
          <w:color w:val="000000"/>
          <w:sz w:val="20"/>
          <w:szCs w:val="20"/>
        </w:rPr>
        <w:br/>
        <w:t xml:space="preserve">im Folgenden kurz </w:t>
      </w:r>
      <w:r>
        <w:rPr>
          <w:rFonts w:ascii="Arial" w:hAnsi="Arial" w:eastAsia="Arial" w:cs="Arial"/>
          <w:b/>
          <w:bCs/>
          <w:color w:val="000000"/>
          <w:sz w:val="20"/>
          <w:szCs w:val="20"/>
        </w:rPr>
        <w:t xml:space="preserve">„Vermieter“</w:t>
      </w:r>
      <w:r>
        <w:rPr>
          <w:rFonts w:ascii="Arial" w:hAnsi="Arial" w:eastAsia="Arial" w:cs="Arial"/>
          <w:color w:val="000000"/>
          <w:sz w:val="20"/>
          <w:szCs w:val="20"/>
        </w:rPr>
        <w:t xml:space="preserve"> genannt
andererseits</w:t>
      </w:r>
    </w:p>
    <w:p>
      <w:pPr>
        <w:widowControl w:val="on"/>
        <w:pBdr/>
        <w:spacing w:before="140" w:after="240" w:line="288" w:lineRule="auto"/>
        <w:ind w:left="0" w:right="0"/>
        <w:jc w:val="left"/>
      </w:pPr>
      <w:r>
        <w:rPr>
          <w:rFonts w:ascii="Arial" w:hAnsi="Arial" w:eastAsia="Arial" w:cs="Arial"/>
          <w:color w:val="000000"/>
          <w:sz w:val="20"/>
          <w:szCs w:val="20"/>
        </w:rPr>
        <w:t xml:space="preserve">wie folgt: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 Mietgegenstand</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Beschreibung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Mietgegenstand ist die Wohnung Tür/Top/Stiege im Haus … [genaue
Anschrift]. Der Mieter ist aufgrund des Dienstvertrags vom …
[Datum] Dienstnehmer des Vermieters. Die Vermietung erfolgt
aufgrund des zwischen dem Vermieter und dem Mieter bestehenden
Dienstverhältnisses. Bei der vertragsgegenständlichen Wohnung
handelt es sich somit um eine Dienstwohnung iSd § 1 Abs 2
Z 2 MRG.</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Voraussetzung für die Qualifikation als Dienstwohnung iSd § 1
Abs 2 Z 2 MRG ist, dass der Dienstvertrag Anlass bzw
Geschäftsgrundlage für den Mietvertrag ist und die Dauer des
Mietvertrags von der Dauer des Dienstverhältnisses abhängt.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Nutzfläche der Wohnung beträgt … m² [Angabe der
Quadratmeterzahl]. Vermietet sind ausschließlich jene Mieträume,
die in diesem Vertrag ausdrücklich erwähnt werden, insbesondere
also weder der Dachboden noch ein Kellerabteil. Der Mietgegenstand
wurde vom Mieter besichtigt.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Verwendung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Mietgegenstand darf ausschließlich zu Wohnzwecken verwendet
werden.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 Mietdauer</w:t>
      </w:r>
    </w:p>
    <w:p>
      <w:pPr>
        <w:widowControl w:val="on"/>
        <w:pBdr/>
        <w:spacing w:before="140" w:after="240" w:line="288" w:lineRule="auto"/>
        <w:ind w:left="0" w:right="0"/>
        <w:jc w:val="left"/>
      </w:pPr>
      <w:r>
        <w:rPr>
          <w:rFonts w:ascii="Arial" w:hAnsi="Arial" w:eastAsia="Arial" w:cs="Arial"/>
          <w:b/>
          <w:bCs/>
          <w:color w:val="000000"/>
          <w:sz w:val="20"/>
          <w:szCs w:val="20"/>
        </w:rPr>
        <w:t xml:space="preserve">Hinweis:</w:t>
      </w:r>
      <w:r>
        <w:rPr>
          <w:rFonts w:ascii="Arial" w:hAnsi="Arial" w:eastAsia="Arial" w:cs="Arial"/>
          <w:color w:val="000000"/>
          <w:sz w:val="20"/>
          <w:szCs w:val="20"/>
        </w:rPr>
        <w:br/>
        <w:t xml:space="preserve">Wie bereits oben ausgeführt, muss die Dauer des Mietvertrags mit
der Dauer des Dienstverhältnisses verknüpft sein, damit eine
Dienstwohnung iSd § 1 Abs 2 Z 2 MRG vorliegt.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Mietverhältnis beginnt am … [Datum] und wird auf die Dauer
des unter Punkt 1.1 genannten Dienstverhältnisses abgeschlossen. Es
endet daher – ohne dass es einer Aufkündigung bedarf – mit
Beendigung des Dienstverhältnisses. Das Nutzungsrecht des Mieters
erlischt mit Ablauf des letzten Tags des Dienstverhältnisses,
sodass der Mieter die Dienstwohnung mit Ablauf des letzten
Arbeitstags zu räumen hat.</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Die Möglichkeit der Beendigung des Mietvertrags über eine
Dienstwohnung wird vom OGH nicht nach mietrechtlichen, sondern
immer nach arbeitsrechtlichen Grundsätzen beurteilt. Das
Mietverhältnis endet grundsätzlich mit dem Dienstverhältnis. Eine
frühere – vom Dienstverhältnis unabhängige – Beendigung des
Mietverhältnisses durch eine ordentliche Kündigung seitens des
Vermieters bzw Dienstgebers ist nicht zulässig. Ein entsprechendes
Kündigungsrecht des Vermieters kann nicht vereinbart
werden. Somit kann die Kündbarkeit oder Widerrufbarkeit für
einen Zeitpunkt vor Ende des Arbeitsverhältnisses nur für den Fall
eines im Arbeitsverhältnis liegenden (wichtigen) Grundes vereinbart
werden.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Wird in einem befristeten Mietvertrag (ein solcher liegt in diesem
Fall vor, da der Mietvertrag auf Dauer des Dienstverhältnisses
abgeschlossen wird) ein Kündigungsrecht nicht ausdrücklich
vorgesehen, so sind beide Vertragsparteien bis zum Ablauf der
Befristung an den Mietvertrag gebunden und muss der Mieter auch bei
Nichtbenützung der Wohnung die Miete bis zum Ablauf der Befristung
bezahlen.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3. Anwendbarkeit des MRG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Es wird ausdrücklich festgehalten, dass die Bestimmungen des
Mietrechtsgesetzes auf das gegenständliche Mietverhältnis keine
Anwendung finden, da es sich bei der vertragsgegenständlichen
Wohnung um eine Dienstwohnung iSd § 1 Abs 2 Z 2 MRG
handelt.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 Mietzins</w:t>
      </w:r>
    </w:p>
    <w:p>
      <w:pPr>
        <w:widowControl w:val="on"/>
        <w:pBdr/>
        <w:spacing w:before="140" w:after="240" w:line="288" w:lineRule="auto"/>
        <w:ind w:left="0" w:right="0"/>
        <w:jc w:val="left"/>
      </w:pPr>
      <w:r>
        <w:rPr>
          <w:rFonts w:ascii="Arial" w:hAnsi="Arial" w:eastAsia="Arial" w:cs="Arial"/>
          <w:b/>
          <w:bCs/>
          <w:color w:val="000000"/>
          <w:sz w:val="20"/>
          <w:szCs w:val="20"/>
        </w:rPr>
        <w:t xml:space="preserve">Hinweis:</w:t>
      </w:r>
      <w:r>
        <w:rPr>
          <w:rFonts w:ascii="Arial" w:hAnsi="Arial" w:eastAsia="Arial" w:cs="Arial"/>
          <w:color w:val="000000"/>
          <w:sz w:val="20"/>
          <w:szCs w:val="20"/>
        </w:rPr>
        <w:br/>
        <w:t xml:space="preserve">Bei einer Naturalwohnung stellt der Dienstgeber dem Dienstnehmer
die Wohnung als Teil des Entgelts zur Verfügung. Der Dienstnehmer
erbringt somit keine Gegenleistung in Geld. Bei einer Werkswohnung
wird dem Dienstnehmer die Wohnung entgeltlich für die Dauer des
Dienstverhältnisses zur Benützung überlassen (das gegenständliche
Muster stellt auf eine Werkswohnung ab, sollte es sich um eine
Naturalwohnung handeln, haben die Bestimmungen über den Mietzins zu
entfallen und ist statt dessen festzuhalten, dass der Mieter keinen
Mietzins zu bezahlen hat).</w:t>
      </w:r>
    </w:p>
    <w:p>
      <w:pPr>
        <w:widowControl w:val="on"/>
        <w:pBdr/>
        <w:spacing w:before="140" w:after="240" w:line="288" w:lineRule="auto"/>
        <w:ind w:left="0" w:right="0"/>
        <w:jc w:val="left"/>
      </w:pPr>
      <w:r>
        <w:rPr>
          <w:rFonts w:ascii="Arial" w:hAnsi="Arial" w:eastAsia="Arial" w:cs="Arial"/>
          <w:color w:val="000000"/>
          <w:sz w:val="20"/>
          <w:szCs w:val="20"/>
        </w:rPr>
        <w:t xml:space="preserve">Grundsätzlich ist es sinnvoller, die Dienstwohnung völlig
unentgeltlich zu gewähren und dafür den Bar-Istlohn niedriger
anzusetzen. Vor allem bei Eigentumswohnungen ist zu beachten, dass
die „Betriebskosten“ nicht das sind, was monatlich an den
Wohnbauträger zu leisten ist, da die monatlichen Zahlungen neben
den Betriebskosten im Allgemeinen auch die Annuitäten, also
Kapitaltilgungen und Zinsen, umfassen. Sofern der Dienstnehmer
lediglich die Betriebskosten zu tragen hat, die aus Wasser- und
Heizungsbenützung, Kanalgebühr, Müllabfuhr udgl entstehen, so ist
dies für die Annahme einer Dienstwohnung unschädlich. Die
Beistellung einer Dienstwohnung sollte grundsätzlich unentgeltlich
sein.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Betriebskosten, öffentliche Abgaben und besondere
Aufwendungen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den vom Mieter zu ersetzenden Betriebskosten, öffentlichen
Abgaben und besonderen Aufwendungen für Gemeinschaftsanlagen
gehören jene Kosten, die gem den §§ 21 bis 24 MRG
zulässigerweise auf den Mieter überwälzt werden können und die
nachstehend angeführten sonstigen Betriebskosten der
Liegenschaft.</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Nach dem Nutzflächenschlüssel sind alle Wohnungen im Haus (auch die
unvermieteten, jedoch vermietbaren) zu berücksichtigen. Sollten
einzelne Betriebskostenpositionen nicht nach den
Nutzflächenschlüssel aufgeteilt werden, so ist im Mietvertrag
darauf hinzuweisen.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Betriebskostenpauschale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Vermieter ist berechtigt, zur Deckung der Betriebskosten
eine monatliche Betriebskostenpauschale gegen eine
Jahresendabrechnung einzuheben. Der Mieter ist berechtigt, Einsicht
in die Belegsammlung zu nehmen und aus dieser gegen Kostenersatz
Kopien anzufertigen. Der Anteil des Mieters an den Betriebskosten
und sonstigen Bewirtschaftungskosten bestimmt sich in Anwendung des
§ 17 MRG.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Bankeinzug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Dem Mieter wird empfohlen, bei einem inländischen Bankinstitut
einen Dauerauftrag einzurichten.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5. Kaution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Höhe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bezahlt dem Vermieter anlässlich des Abschlusses des
Mietvertrages eine Kaution in Höhe von EUR … [Betrag] in
bar.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Verzinsung und Rückzahlung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 Kaution ist vom Vermieter zu dem für täglich fällige
Einlagen erzielbaren Zinssatz zu verzinsen und an den Mieter nach
Beendigung des Mietverhältnisses samt den Zinsen auszufolgen.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Verwendungszweck</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Kaution dient zur Absicherung des Vermieters gegen
Zinsausfälle betreffend das gegenständliche Mietobjekt.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Kaution gilt daher auch zur Absicherung des Vermieters für
eine ordnungsgemäße Rückgabe des Bestandgegenstandes nach
Beendigung des Mietverhältnisses.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Rückzahlung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Rückzahlung der Kaution wird mit Beendigung des
Mietverhältnisses fällig.</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Diese Bestimmung motiviert den Mieter zu einer ordnungsgemäßen
Vertragsbeendigung und Rückgabe des Objektes, sieht aber eine
Verzinsung zugunsten des Mieters vor.</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6. Übergabe/Übernahme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Mit Abschluss dieses Mietvertrages mietet der Mieter das in
Punkt 1 genannte Mietobjekt.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Anlässlich der Übergabe verpflichten sich die Vertragsparteien,
ein Übergabeprotokoll zu errichten (samt Fotodokumentation), in dem
sie den Zustand des Mietgegenstands bei Übergabe festzuhalten
haben.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7. Wartung und Schutz des
Mietgegenstandes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Behandlung des Mietgegenstands und Haftung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ist verpflichtet, den Mietgegenstand samt den für
diesen bestimmten technischen und baulichen Einrichtungen
(insbesondere die Energieversorgungsleitungen, die Etagenheizungen
und die Wasseraufbereiter) sowie die gemeinschaftlichen
Einrichtungen und Anlagen pfleglich und schonend zu behandeln. Der
Mieter verpflichtet sich ferner zum Ersatz jedes Schadens, der dem
Vermieter aus unsachgemäßer Behandlung des Mietobjektes durch ihn
und ihm zurechenbare Personen (Familienangehörige, Dienstleute,
Hausgenossen, Gäste und Handwerker) (§ 1111 ABGB) entsteht,
sofern den Mieter und/oder diese Personen ein Verschulden
trifft/treffen.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Anzeigepflicht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hat allfällige Schäden am Bestandobjekt, an den
allgemeinen Teilen des Hauses und den allgemeinen Einrichtungen
ohne Verzug dem Vermieter zu melden.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Schäden, die infolge nicht umgehender Anzeige entstanden
sind, haftet der Mieter, sofern den Mieter ein Verschulden trifft
und eine rechtzeitige Anzeige den Schaden geringer gehalten
hätte.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Wartungspflicht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ist verpflichtet, sämtliche technische und bauliche
Einrichtungen des Mietobjekts regelmäßig im erforderlichen Umfang
zu warten.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Neu- und Nachverlegung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Verlegung zusätzlicher Energie- und Nachrichtenleitungen im
Inneren des Bestandgegenstandes ist erlaubt.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Sicherheitsbeschränkungen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Dem Mieter ist es ausdrücklich untersagt, Geräte aller Art zu
installieren, welche nicht den zum jeweiligen Zeitpunkt gültigen
Sicherheitsvorkehrungen entsprechen. Insbesondere dürfen Strom- und
Gasgeräte nicht angeschlossen werden, welche nicht den
österreichischen Sicherheitsstandards entsprechen (ÖVE udgl).</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8. Benützung des
Mietgegenstandes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Schilder</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Dem Mieter ist es nach vorheriger Zustimmung des Vermieters
gestattet, Steckschilder, Namens- oder Firmentafeln zu
montieren.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Motorfahrzeuge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Abstellen von Motorfahrzeugen jeglicher Art ist nur auf den
hiefür gesondert bezeichneten Stellplätzen erlaubt.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Durchsetzung von Mietrechten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Wird der Mieter im Genuss der Bestandrechte gestört, ist er
berechtigt, seine Ansprüche gegen den Störer selbst unmittelbar
klageweise durchzusetzen.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Hausordnung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verpflichtet sich zur Einhaltung der Hausordnung
(Beilage ./A), die einen integrierenden Teil des Vertrages
bildet.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Gestattung von Arbeiten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wird – sofern ihm daraus keine wesentlichen Nachteile
erwachsen – nützliche Verbesserungen des Hauses bzw seines
Mietgegenstandes zulassen, wie beispielsweise die Einrichtung einer
Torgegensprechanlage und ähnlich nützlicher Einrichtungen, auch
wenn diese erst durch den künftigen technischen Fortschritt
ermöglicht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Betretungsmöglichkeit des Mietgegenstands</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ist verpflichtet, bei Vorliegen eines wichtigen
Grundes iSd § 8 Abs 2 MRG dem Vermieter gegen
Vorankündigung das Betreten des Mietgegenstandes zu ermöglichen,
dasselbe gilt auch für Personen, die im Mietgegenstand ihren
beruflichen Verpflichtungen nachkommen müssen (Rauchfangkehrer oder
andere Handwerker).</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9. Rückgabe und
Investitionsersatz</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Zustand</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Nach Ablauf der Bestandzeit ist der Mieter verpflichtet, dem
Vermieter das Mietobjekt besenrein, geräumt von eigenen Fahrnissen
und in jenem Zustand, in dem es sich unter Berücksichtigung der
gewöhnlichen Abnützung bei der Übergabe befunden hat,
zurückzustellen.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Investitionen des Mieters und deren rechtliches Schicksal</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 Auflösung des Mietverhältnisses ist der Mieter berechtigt,
für Verbesserungen des Mietgegenstandes einen Aufwandersatz in
sinngemäßer Anwendung des § 10 MRG vom Vermieter zu verlangen,
wenn der Vermieter der Verbesserungsarbeit zugestimmt hat.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10. Untervermietung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ist nicht berechtigt, ohne Zustimmung des Vermieters
das Mietobjekt unterzuvermieten.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11. Vertragsauflösung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Dem Vermieter steht jederzeit das Recht zu, den Mietvertrag im
Sinne der Bestimmungen des § 1118 ABGB fristlos
aufzulösen.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 gilt insbesondere bei Nichtbezahlung der Betriebskosten,
sowie bei Verweigerung des Mieters, dessen vereinbarter Mietzins
zur Gänze oder teilweise in eigenen Dienstleistungen besteht, die
bedungenen Dienste zu erbringen.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Dem Mieter steht jederzeit das Recht zu, den Mietvertrag im
Sinne der Bestimmungen des § 1117 ABGB fristlos
aufzulösen.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12. Kosten und Gebühren</w:t>
      </w:r>
    </w:p>
    <w:p>
      <w:pPr>
        <w:widowControl w:val="on"/>
        <w:pBdr/>
        <w:spacing w:before="140" w:after="240" w:line="288" w:lineRule="auto"/>
        <w:ind w:left="0" w:right="0"/>
        <w:jc w:val="left"/>
      </w:pPr>
      <w:r>
        <w:rPr>
          <w:rFonts w:ascii="Arial" w:hAnsi="Arial" w:eastAsia="Arial" w:cs="Arial"/>
          <w:color w:val="000000"/>
          <w:sz w:val="20"/>
          <w:szCs w:val="20"/>
        </w:rPr>
        <w:t xml:space="preserve">Die Kosten der Errichtung dieses Mietvertrages trägt der
Vermieter.</w:t>
      </w:r>
    </w:p>
    <w:p>
      <w:pPr>
        <w:widowControl w:val="on"/>
        <w:pBdr/>
        <w:spacing w:before="140" w:after="240" w:line="288" w:lineRule="auto"/>
        <w:ind w:left="0" w:right="0"/>
        <w:jc w:val="left"/>
      </w:pPr>
      <w:r>
        <w:rPr>
          <w:rFonts w:ascii="Arial" w:hAnsi="Arial" w:eastAsia="Arial" w:cs="Arial"/>
          <w:b/>
          <w:bCs/>
          <w:color w:val="000000"/>
          <w:sz w:val="20"/>
          <w:szCs w:val="20"/>
        </w:rPr>
        <w:t xml:space="preserve">Hinweis:</w:t>
      </w:r>
      <w:r>
        <w:rPr>
          <w:rFonts w:ascii="Arial" w:hAnsi="Arial" w:eastAsia="Arial" w:cs="Arial"/>
          <w:color w:val="000000"/>
          <w:sz w:val="20"/>
          <w:szCs w:val="20"/>
        </w:rPr>
        <w:br/>
        <w:t xml:space="preserve">Seit dem Erkenntnis des OGH (wobl 1993/125 zust </w:t>
      </w:r>
      <w:r>
        <w:rPr>
          <w:rFonts w:ascii="Arial" w:hAnsi="Arial" w:eastAsia="Arial" w:cs="Arial"/>
          <w:i/>
          <w:iCs/>
          <w:color w:val="000000"/>
          <w:sz w:val="20"/>
          <w:szCs w:val="20"/>
        </w:rPr>
        <w:t xml:space="preserve">Würth</w:t>
      </w:r>
      <w:r>
        <w:rPr>
          <w:rFonts w:ascii="Arial" w:hAnsi="Arial" w:eastAsia="Arial" w:cs="Arial"/>
          <w:color w:val="000000"/>
          <w:sz w:val="20"/>
          <w:szCs w:val="20"/>
        </w:rPr>
        <w:t xml:space="preserve">)
können diese Kosten nicht mehr auf den Mieter überwälzt werden.</w:t>
      </w:r>
    </w:p>
    <w:p>
      <w:pPr>
        <w:widowControl w:val="on"/>
        <w:pBdr/>
        <w:spacing w:before="140" w:after="240" w:line="288" w:lineRule="auto"/>
        <w:ind w:left="0" w:right="0"/>
        <w:jc w:val="left"/>
      </w:pPr>
      <w:r>
        <w:rPr>
          <w:rFonts w:ascii="Arial" w:hAnsi="Arial" w:eastAsia="Arial" w:cs="Arial"/>
          <w:b/>
          <w:bCs/>
          <w:color w:val="000000"/>
          <w:sz w:val="20"/>
          <w:szCs w:val="20"/>
        </w:rPr>
        <w:t xml:space="preserve">Hinweis:</w:t>
      </w:r>
      <w:r>
        <w:rPr>
          <w:rFonts w:ascii="Arial" w:hAnsi="Arial" w:eastAsia="Arial" w:cs="Arial"/>
          <w:color w:val="000000"/>
          <w:sz w:val="20"/>
          <w:szCs w:val="20"/>
        </w:rPr>
        <w:br/>
        <w:t xml:space="preserve">Seit 11.11.2017 entfällt durch die Novelle BGBl I
Nr 147/2017 die Gebühr für Mietverträge über Wohnraum, die ab
dem 11. November 2017 abgeschlossen werden. Für Mieter fallen somit
keine Kosten für die Vergebührung des Vertrages an.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13. Schlüssel</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Vermieter übergibt dem Mieter anlässlich des
Vertragsabschlusses … Schlüssel; weitere Schlüssel hat der Mieter
auf eigene Kosten herstellen zu lassen.</w:t>
            </w:r>
          </w:p>
        </w:tc>
      </w:tr>
    </w:tbl>
    <w:p>
      <w:pPr>
        <w:widowControl w:val="on"/>
        <w:pBdr/>
        <w:spacing w:before="140" w:after="240" w:line="288" w:lineRule="auto"/>
        <w:ind w:left="0" w:right="0"/>
        <w:jc w:val="left"/>
      </w:pPr>
      <w:r>
        <w:rPr>
          <w:rFonts w:ascii="Arial" w:hAnsi="Arial" w:eastAsia="Arial" w:cs="Arial"/>
          <w:color w:val="000000"/>
          <w:sz w:val="20"/>
          <w:szCs w:val="20"/>
        </w:rPr>
        <w:t xml:space="preserve">…, am …</w:t>
      </w:r>
      <w:r>
        <w:rPr>
          <w:rFonts w:ascii="Arial" w:hAnsi="Arial" w:eastAsia="Arial" w:cs="Arial"/>
          <w:color w:val="000000"/>
          <w:sz w:val="20"/>
          <w:szCs w:val="20"/>
        </w:rPr>
        <w:br/>
        <w:t xml:space="preserve">…</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293072">
    <w:multiLevelType w:val="hybridMultilevel"/>
    <w:lvl w:ilvl="0" w:tplc="27985905">
      <w:start w:val="1"/>
      <w:numFmt w:val="decimal"/>
      <w:lvlText w:val="%1."/>
      <w:lvlJc w:val="left"/>
      <w:pPr>
        <w:ind w:left="720" w:hanging="360"/>
      </w:pPr>
    </w:lvl>
    <w:lvl w:ilvl="1" w:tplc="27985905" w:tentative="1">
      <w:start w:val="1"/>
      <w:numFmt w:val="lowerLetter"/>
      <w:lvlText w:val="%2."/>
      <w:lvlJc w:val="left"/>
      <w:pPr>
        <w:ind w:left="1440" w:hanging="360"/>
      </w:pPr>
    </w:lvl>
    <w:lvl w:ilvl="2" w:tplc="27985905" w:tentative="1">
      <w:start w:val="1"/>
      <w:numFmt w:val="lowerRoman"/>
      <w:lvlText w:val="%3."/>
      <w:lvlJc w:val="right"/>
      <w:pPr>
        <w:ind w:left="2160" w:hanging="180"/>
      </w:pPr>
    </w:lvl>
    <w:lvl w:ilvl="3" w:tplc="27985905" w:tentative="1">
      <w:start w:val="1"/>
      <w:numFmt w:val="decimal"/>
      <w:lvlText w:val="%4."/>
      <w:lvlJc w:val="left"/>
      <w:pPr>
        <w:ind w:left="2880" w:hanging="360"/>
      </w:pPr>
    </w:lvl>
    <w:lvl w:ilvl="4" w:tplc="27985905" w:tentative="1">
      <w:start w:val="1"/>
      <w:numFmt w:val="lowerLetter"/>
      <w:lvlText w:val="%5."/>
      <w:lvlJc w:val="left"/>
      <w:pPr>
        <w:ind w:left="3600" w:hanging="360"/>
      </w:pPr>
    </w:lvl>
    <w:lvl w:ilvl="5" w:tplc="27985905" w:tentative="1">
      <w:start w:val="1"/>
      <w:numFmt w:val="lowerRoman"/>
      <w:lvlText w:val="%6."/>
      <w:lvlJc w:val="right"/>
      <w:pPr>
        <w:ind w:left="4320" w:hanging="180"/>
      </w:pPr>
    </w:lvl>
    <w:lvl w:ilvl="6" w:tplc="27985905" w:tentative="1">
      <w:start w:val="1"/>
      <w:numFmt w:val="decimal"/>
      <w:lvlText w:val="%7."/>
      <w:lvlJc w:val="left"/>
      <w:pPr>
        <w:ind w:left="5040" w:hanging="360"/>
      </w:pPr>
    </w:lvl>
    <w:lvl w:ilvl="7" w:tplc="27985905" w:tentative="1">
      <w:start w:val="1"/>
      <w:numFmt w:val="lowerLetter"/>
      <w:lvlText w:val="%8."/>
      <w:lvlJc w:val="left"/>
      <w:pPr>
        <w:ind w:left="5760" w:hanging="360"/>
      </w:pPr>
    </w:lvl>
    <w:lvl w:ilvl="8" w:tplc="27985905" w:tentative="1">
      <w:start w:val="1"/>
      <w:numFmt w:val="lowerRoman"/>
      <w:lvlText w:val="%9."/>
      <w:lvlJc w:val="right"/>
      <w:pPr>
        <w:ind w:left="6480" w:hanging="180"/>
      </w:pPr>
    </w:lvl>
  </w:abstractNum>
  <w:abstractNum w:abstractNumId="44293071">
    <w:multiLevelType w:val="hybridMultilevel"/>
    <w:lvl w:ilvl="0" w:tplc="711836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293071">
    <w:abstractNumId w:val="44293071"/>
  </w:num>
  <w:num w:numId="44293072">
    <w:abstractNumId w:val="442930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88203236" Type="http://schemas.openxmlformats.org/officeDocument/2006/relationships/numbering" Target="numbering.xml"/><Relationship Id="rId89714905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