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9827152" w:name="document"/>
    <w:bookmarkEnd w:id="99827152"/>
    <w:p/>
    <w:p>
      <w:pPr>
        <w:widowControl w:val="on"/>
        <w:pBdr/>
        <w:spacing w:before="0" w:after="280" w:line="240" w:lineRule="auto"/>
        <w:ind w:left="0" w:right="0"/>
        <w:jc w:val="left"/>
      </w:pPr>
      <w:r>
        <w:rPr>
          <w:rFonts w:ascii="Arial" w:hAnsi="Arial" w:eastAsia="Arial" w:cs="Arial"/>
          <w:color w:val="363A40"/>
          <w:sz w:val="24"/>
          <w:szCs w:val="24"/>
        </w:rPr>
        <w:t xml:space="preserve">Dokument-ID: 878540 | Redaktion FORUM Media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Gerichtliche Aufkündigung wegen Mietzinsrückstandes (§ 30 Abs 2
Z 1 MRG)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w:t>
      </w:r>
      <w:bookmarkStart w:id="16151054" w:name="link1"/>
      <w:bookmarkEnd w:id="16151054"/>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 [Adresse]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Gekündigte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[säumiger 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[Angabe des </w:t>
            </w:r>
            <w:r>
              <w:rPr>
                <w:rFonts w:ascii="Arial" w:hAnsi="Arial" w:eastAsia="Arial" w:cs="Arial"/>
                <w:color w:val="000000"/>
                <w:position w:val="0"/>
                <w:sz w:val="20"/>
                <w:szCs w:val="20"/>
                <w:shd w:val="clear" w:color="auto" w:fill="FFFFFF"/>
              </w:rPr>
              <w:t xml:space="preserve">Streitwerts]</w:t>
            </w:r>
            <w:bookmarkStart w:id="49545722" w:name="link2"/>
            <w:bookmarkEnd w:id="49545722"/>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Gerichtliche </w:t>
      </w:r>
      <w:r>
        <w:rPr>
          <w:rFonts w:ascii="Arial" w:hAnsi="Arial" w:eastAsia="Arial" w:cs="Arial"/>
          <w:b/>
          <w:bCs/>
          <w:color w:val="363A40"/>
          <w:sz w:val="28"/>
          <w:szCs w:val="28"/>
        </w:rPr>
        <w:t xml:space="preserve">Aufkündigung</w:t>
      </w:r>
      <w:bookmarkStart w:id="84095151" w:name="link3"/>
      <w:bookmarkEnd w:id="84095151"/>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Zwischen mir (uns) und der gekündigten Partei besteht aufgrund
des Vertrags ... hinsichtlich des … [Bestandobjekt samt
</w:t>
      </w:r>
      <w:r>
        <w:rPr>
          <w:rFonts w:ascii="Arial" w:hAnsi="Arial" w:eastAsia="Arial" w:cs="Arial"/>
          <w:color w:val="000000"/>
          <w:sz w:val="20"/>
          <w:szCs w:val="20"/>
        </w:rPr>
        <w:t xml:space="preserve">Beschreibung]</w:t>
      </w:r>
      <w:bookmarkStart w:id="11360593" w:name="link4"/>
      <w:bookmarkEnd w:id="11360593"/>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ein
Bestandverhältnis.</w:t>
      </w:r>
    </w:p>
    <w:p>
      <w:pPr>
        <w:widowControl w:val="on"/>
        <w:pBdr/>
        <w:spacing w:before="140" w:after="240" w:line="288" w:lineRule="auto"/>
        <w:ind w:left="0" w:right="0"/>
        <w:jc w:val="left"/>
      </w:pPr>
      <w:r>
        <w:rPr>
          <w:rFonts w:ascii="Arial" w:hAnsi="Arial" w:eastAsia="Arial" w:cs="Arial"/>
          <w:color w:val="000000"/>
          <w:sz w:val="20"/>
          <w:szCs w:val="20"/>
        </w:rPr>
        <w:t xml:space="preserve">Ich (wir) </w:t>
      </w:r>
      <w:r>
        <w:rPr>
          <w:rFonts w:ascii="Arial" w:hAnsi="Arial" w:eastAsia="Arial" w:cs="Arial"/>
          <w:color w:val="000000"/>
          <w:sz w:val="20"/>
          <w:szCs w:val="20"/>
        </w:rPr>
        <w:t xml:space="preserve">kündige(n)</w:t>
      </w:r>
      <w:bookmarkStart w:id="23732896" w:name="link5"/>
      <w:bookmarkEnd w:id="23732896"/>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 der
gekündigten Partei die Wohnung … [genaue Beschreibung], welche
gegen einmonatige (oder längere) </w:t>
      </w:r>
      <w:r>
        <w:rPr>
          <w:rFonts w:ascii="Arial" w:hAnsi="Arial" w:eastAsia="Arial" w:cs="Arial"/>
          <w:color w:val="000000"/>
          <w:sz w:val="20"/>
          <w:szCs w:val="20"/>
        </w:rPr>
        <w:t xml:space="preserve">Kündigungsfrist</w:t>
      </w:r>
      <w:bookmarkStart w:id="18057861" w:name="link6"/>
      <w:bookmarkEnd w:id="18057861"/>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angemietet wurde, samt
Zubehör für den … gerichtlich auf und beantrage(n), der gekündigten
Partei aufzutragen, diesen Bestandgegenstand binnen 14 Tagen nach
diesem Termin geräumt bei Exekution zu übergeben oder gegen diese
Aufkündigung Einwendungen einzubringen.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Kündigungsgrund</w:t>
      </w:r>
      <w:bookmarkStart w:id="82549381" w:name="link7"/>
      <w:bookmarkEnd w:id="82549381"/>
      <w:hyperlink w:anchor="note7" w:history="1">
        <w:r>
          <w:rPr>
            <w:rFonts w:ascii="Arial" w:hAnsi="Arial" w:eastAsia="Arial" w:cs="Arial"/>
            <w:b/>
            <w:bCs/>
            <w:color w:val="006BB6"/>
            <w:position w:val="5"/>
            <w:sz w:val="24"/>
            <w:szCs w:val="24"/>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gekündigte Partei hat den Bestandzins (Erhaltungs- und
Verbesserungsbeitrag, Betriebskosten, Umsatzsteuer etc) in der Zeit
von … bis … nicht (oder nur zum Teil) </w:t>
      </w:r>
      <w:r>
        <w:rPr>
          <w:rFonts w:ascii="Arial" w:hAnsi="Arial" w:eastAsia="Arial" w:cs="Arial"/>
          <w:color w:val="000000"/>
          <w:sz w:val="20"/>
          <w:szCs w:val="20"/>
        </w:rPr>
        <w:t xml:space="preserve">entrichtet.</w:t>
      </w:r>
      <w:bookmarkStart w:id="13299337" w:name="link8"/>
      <w:bookmarkEnd w:id="13299337"/>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Eine schriftliche Mahnung vom … ist ohne Erfolg geblieben.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 Korrespondenz</w:t>
            </w:r>
            <w:r>
              <w:rPr>
                <w:rFonts w:ascii="Arial" w:hAnsi="Arial" w:eastAsia="Arial" w:cs="Arial"/>
                <w:color w:val="000000"/>
                <w:position w:val="0"/>
                <w:sz w:val="20"/>
                <w:szCs w:val="20"/>
                <w:shd w:val="clear" w:color="auto" w:fill="FFFFFF"/>
              </w:rPr>
              <w:br/>
              <w:t xml:space="preserve">Vorzulegender Bestandvertrag</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Parteieinvernahme</w:t>
            </w:r>
            <w:r>
              <w:rPr>
                <w:rFonts w:ascii="Arial" w:hAnsi="Arial" w:eastAsia="Arial" w:cs="Arial"/>
                <w:color w:val="000000"/>
                <w:position w:val="0"/>
                <w:sz w:val="20"/>
                <w:szCs w:val="20"/>
                <w:shd w:val="clear" w:color="auto" w:fill="FFFFFF"/>
              </w:rPr>
              <w:br/>
              <w:t xml:space="preserve">Alle sonstigen geeigneten Beweismittel</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Begehren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 des Gerichtes</w:t>
      </w:r>
    </w:p>
    <w:p>
      <w:pPr>
        <w:numPr>
          <w:ilvl w:val="0"/>
          <w:numId w:val="6428933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gekündigten Partei wird bei sonstiger Exekution
aufgetragen, den in dieser Aufkündigung bezeichneten
Bestandgegenstand samt Nebenräumen und allenfalls mitgemieteten
Flächen binnen 14 Tagen nach dem oben genannten Kündigungstermin
</w:t>
      </w:r>
    </w:p>
    <w:p>
      <w:pPr>
        <w:numPr>
          <w:ilvl w:val="1"/>
          <w:numId w:val="6428933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geräumt von ihren Fahrnissen zu übergeben oder gegen diese
Aufkündigung </w:t>
      </w:r>
      <w:r>
        <w:rPr>
          <w:rFonts w:ascii="Arial" w:hAnsi="Arial" w:eastAsia="Arial" w:cs="Arial"/>
          <w:color w:val="000000"/>
          <w:sz w:val="20"/>
          <w:szCs w:val="20"/>
        </w:rPr>
        <w:t xml:space="preserve">Einwendungen</w:t>
      </w:r>
      <w:bookmarkStart w:id="39990790" w:name="link9"/>
      <w:bookmarkEnd w:id="39990790"/>
      <w:hyperlink w:anchor="note9" w:history="1">
        <w:r>
          <w:rPr>
            <w:rFonts w:ascii="Arial" w:hAnsi="Arial" w:eastAsia="Arial" w:cs="Arial"/>
            <w:b/>
            <w:bCs/>
            <w:color w:val="006BB6"/>
            <w:position w:val="4"/>
            <w:sz w:val="22"/>
            <w:szCs w:val="22"/>
            <w:vertAlign w:val="superscript"/>
          </w:rPr>
          <w:t xml:space="preserve">9</w:t>
        </w:r>
      </w:hyperlink>
      <w:r>
        <w:rPr>
          <w:rFonts w:ascii="Arial" w:hAnsi="Arial" w:eastAsia="Arial" w:cs="Arial"/>
          <w:color w:val="000000"/>
          <w:sz w:val="20"/>
          <w:szCs w:val="20"/>
        </w:rPr>
        <w:t xml:space="preserve"> binnen 4 Wochen nach Zustellung dieses
Beschlusses mündlich oder schriftlich bei diesem Gericht
</w:t>
      </w:r>
      <w:r>
        <w:rPr>
          <w:rFonts w:ascii="Arial" w:hAnsi="Arial" w:eastAsia="Arial" w:cs="Arial"/>
          <w:color w:val="000000"/>
          <w:sz w:val="20"/>
          <w:szCs w:val="20"/>
        </w:rPr>
        <w:t xml:space="preserve">einzubringen.</w:t>
      </w:r>
      <w:bookmarkStart w:id="67580723" w:name="link10"/>
      <w:bookmarkEnd w:id="67580723"/>
      <w:hyperlink w:anchor="note10" w:history="1">
        <w:r>
          <w:rPr>
            <w:rFonts w:ascii="Arial" w:hAnsi="Arial" w:eastAsia="Arial" w:cs="Arial"/>
            <w:b/>
            <w:bCs/>
            <w:color w:val="006BB6"/>
            <w:position w:val="4"/>
            <w:sz w:val="22"/>
            <w:szCs w:val="22"/>
            <w:vertAlign w:val="superscript"/>
          </w:rPr>
          <w:t xml:space="preserve">10</w:t>
        </w:r>
      </w:hyperlink>
    </w:p>
    <w:p>
      <w:pPr>
        <w:numPr>
          <w:ilvl w:val="0"/>
          <w:numId w:val="6428933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Dieser Beschluss ist auch gegen die kündigende Partei
vollstreckbar.</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 kündigende Partei]</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Rechtsbelehrung</w:t>
      </w:r>
    </w:p>
    <w:p>
      <w:pPr>
        <w:widowControl w:val="on"/>
        <w:pBdr/>
        <w:spacing w:before="140" w:after="240" w:line="288" w:lineRule="auto"/>
        <w:ind w:left="0" w:right="0"/>
        <w:jc w:val="left"/>
      </w:pPr>
      <w:r>
        <w:rPr>
          <w:rFonts w:ascii="Arial" w:hAnsi="Arial" w:eastAsia="Arial" w:cs="Arial"/>
          <w:color w:val="000000"/>
          <w:sz w:val="20"/>
          <w:szCs w:val="20"/>
        </w:rPr>
        <w:t xml:space="preserve">Auch diese Rechtsbelehrung, in manchen Drucksorten auch „zur
Nachricht“ genannt, muss für die rasche formlose Erledigung durch
das Gericht angebracht werden. Ansonsten müsste das Gericht
irgendwelche Kopien anschließen oder der Richter die entsprechende
Belehrung verfassen.</w:t>
      </w:r>
    </w:p>
    <w:p>
      <w:pPr>
        <w:widowControl w:val="on"/>
        <w:pBdr/>
        <w:spacing w:before="140" w:after="240" w:line="288" w:lineRule="auto"/>
        <w:ind w:left="0" w:right="0"/>
        <w:jc w:val="left"/>
      </w:pPr>
      <w:r>
        <w:rPr>
          <w:rFonts w:ascii="Arial" w:hAnsi="Arial" w:eastAsia="Arial" w:cs="Arial"/>
          <w:color w:val="000000"/>
          <w:sz w:val="20"/>
          <w:szCs w:val="20"/>
        </w:rPr>
        <w:t xml:space="preserve">Die kündigende Partei hat für das Gericht und jeden
Kündigungsgegner je eine Ausfertigung, ferner zu ihrer eigenen
Benachrichtigung eine Ausfertigung auszufüllen und bei Gericht zu
überreichen. Das für das Gericht bestimmte Formular ist mit einem
Nachweis der Vergebührung (Pauschalgebühr) zu </w:t>
      </w:r>
      <w:r>
        <w:rPr>
          <w:rFonts w:ascii="Arial" w:hAnsi="Arial" w:eastAsia="Arial" w:cs="Arial"/>
          <w:color w:val="000000"/>
          <w:sz w:val="20"/>
          <w:szCs w:val="20"/>
        </w:rPr>
        <w:t xml:space="preserve">versehen.</w:t>
      </w:r>
      <w:bookmarkStart w:id="21386327" w:name="link11"/>
      <w:bookmarkEnd w:id="21386327"/>
      <w:hyperlink w:anchor="note11" w:history="1">
        <w:r>
          <w:rPr>
            <w:rFonts w:ascii="Arial" w:hAnsi="Arial" w:eastAsia="Arial" w:cs="Arial"/>
            <w:b/>
            <w:bCs/>
            <w:color w:val="006BB6"/>
            <w:position w:val="4"/>
            <w:sz w:val="22"/>
            <w:szCs w:val="22"/>
            <w:vertAlign w:val="superscript"/>
          </w:rPr>
          <w:t xml:space="preserve">11</w:t>
        </w:r>
      </w:hyperlink>
    </w:p>
    <w:p>
      <w:pPr>
        <w:widowControl w:val="on"/>
        <w:pBdr/>
        <w:spacing w:before="140" w:after="240" w:line="288" w:lineRule="auto"/>
        <w:ind w:left="0" w:right="0"/>
        <w:jc w:val="left"/>
      </w:pPr>
      <w:r>
        <w:rPr>
          <w:rFonts w:ascii="Arial" w:hAnsi="Arial" w:eastAsia="Arial" w:cs="Arial"/>
          <w:color w:val="000000"/>
          <w:sz w:val="20"/>
          <w:szCs w:val="20"/>
        </w:rPr>
        <w:t xml:space="preserve">Wenn die kündigende Partei im Ausland wohnt, hat sie einen im
Sprengel des zuständigen Bezirksgerichtes wohnenden
Zustellungsbevollmächtigten zu bestellen und dessen Namen und
Anschrift anzuführen.</w:t>
      </w:r>
    </w:p>
    <w:p>
      <w:pPr>
        <w:widowControl w:val="on"/>
        <w:pBdr/>
        <w:spacing w:before="140" w:after="240" w:line="288" w:lineRule="auto"/>
        <w:ind w:left="0" w:right="0"/>
        <w:jc w:val="left"/>
      </w:pPr>
      <w:r>
        <w:rPr>
          <w:rFonts w:ascii="Arial" w:hAnsi="Arial" w:eastAsia="Arial" w:cs="Arial"/>
          <w:color w:val="000000"/>
          <w:sz w:val="20"/>
          <w:szCs w:val="20"/>
        </w:rPr>
        <w:t xml:space="preserve">Einwendungen gegen diese Aufkündigung müssen innerhalb der im
gerichtlichen Beschluss festgelegten Frist erhoben werden. Die
Einwendungen können mittels Schriftsatzes eingebracht oder bei
Gericht zu Protokoll gegeben werden. Neben der Bestreitung des
Kündigungsgrundes können auch andere Einwendungen geltend gemacht
werden, insbesondere der Mangel der aktiven oder passiven
Legitimation (Vermietereigenschaft/Mietereigenschaft), unrichtige
Bezeichnung des aufgekündigten Objektes, Verletzung vereinbarter
oder gesetzlicher Fristen oder Termine, Verzicht etc.</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75677" w:name="note1"/>
            <w:bookmarkEnd w:id="6275677"/>
            <w:bookmarkStart w:id="8830785765051" w:name="note1"/>
            <w:r>
              <w:rPr>
                <w:rFonts w:ascii="Arial" w:hAnsi="Arial" w:eastAsia="Arial" w:cs="Arial"/>
                <w:b/>
                <w:bCs/>
                <w:color w:val="000000"/>
                <w:position w:val="0"/>
                <w:sz w:val="20"/>
                <w:szCs w:val="20"/>
              </w:rPr>
              <w:t xml:space="preserve">[1]</w:t>
            </w:r>
            <w:bookmarkEnd w:id="88307857650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Bestandverfahren fällt in die Eigenzuständigkeit der
Bezirksgerichte (§§ 49 Abs 2 Z 5, Abs 4 JN).
Örtlich ist ausschließlich jenes Bezirksgericht zuständig, in
dessen Sprengel die Bestandsache gelegen ist (§ 83 JN).
Abweichende Gerichtsstandsvereinbarungen sind also möglich.</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983371" w:name="note2"/>
            <w:bookmarkEnd w:id="96983371"/>
            <w:bookmarkStart w:id="587098138494" w:name="note2"/>
            <w:r>
              <w:rPr>
                <w:rFonts w:ascii="Arial" w:hAnsi="Arial" w:eastAsia="Arial" w:cs="Arial"/>
                <w:b/>
                <w:bCs/>
                <w:color w:val="000000"/>
                <w:position w:val="0"/>
                <w:sz w:val="20"/>
                <w:szCs w:val="20"/>
              </w:rPr>
              <w:t xml:space="preserve">[2]</w:t>
            </w:r>
            <w:bookmarkEnd w:id="5870981384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Bemessungsgrundlage gem GGG, die für die
Gerichtspauschalgebühr maßgeblich ist, beträgt im Bestandverfahren
derzeit EUR 750,– (§ 16 Abs 1 Z 1 GGG). Auch
gem RATG (§ 10 Z 2 lit a–c) sind zwingende
Bemessungsgrundlagen vorgesehen: Bei Geschäftsräumen sowie bei
Wohnungen über 90 m² Nutzfläche ist der Jahresmietzins
heranzuziehen, bei Wohnungen von 60 m² bis 90 m² Nutzfläche beträgt
die Bemessungsgrundlage EUR 1.500,– und bei kleineren
Wohnungen EUR 1.000,–. Gem JN kann der Streitgegenstand frei
bewertet werden; wird eine Bewertung unterlassen, gilt der
Zweifelsstreitwert von EUR 5.000,– gem § 56 Abs 2
JN.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Strittig ist, ob der kündigenden Partei Kostenersatz zusteht,
wenn der Kündigungsgegner keine Einwendungen erhebt (der
Kostenersatz würde sich sohin auf die gerichtliche Aufkündigung,
die je nach Inhalt als Schriftsatz TP 2 oder TP 3A zu
honorieren wäre, und auf die Gerichtspauschalgebühr beziehen).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685850" w:name="note3"/>
            <w:bookmarkEnd w:id="39685850"/>
            <w:bookmarkStart w:id="9232465741413" w:name="note3"/>
            <w:r>
              <w:rPr>
                <w:rFonts w:ascii="Arial" w:hAnsi="Arial" w:eastAsia="Arial" w:cs="Arial"/>
                <w:b/>
                <w:bCs/>
                <w:color w:val="000000"/>
                <w:position w:val="0"/>
                <w:sz w:val="20"/>
                <w:szCs w:val="20"/>
              </w:rPr>
              <w:t xml:space="preserve">[3]</w:t>
            </w:r>
            <w:bookmarkEnd w:id="92324657414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506 ff ZPO regeln die gerichtliche Aufkündigung von
Bestandverträgen (also sowohl Miet- als auch Pachtverträge) über
Grundstücke, Gebäude und andere unbewegliche oder gesetzlich für
unbeweglich erklärte Sachen sowie Unternehmen, zu denen
unbewegliche Gegenstände gehören. Vorauszuschicken ist, dass nicht
etwa jeder Bestandvertrag gerichtlich aufgekündigt werden muss:
Zwingend ist die gerichtliche Aufkündigung im Wesentlichen nur für
Kündigungen des Vermieters im Anwendungsbereich des MRG (siehe
§ 33 Abs 1 MRG), sowie dann, wenn sie vertraglich als
einzige Aufkündigungsmöglichkeit vereinbart wurde. Außerdem ist die
gerichtliche Aufkündigung in einigen weiteren Gesetzesbestimmungen
angeordnet, so beispielsweise in § 7 Kleingartengesetz für
Generalpachtverträge. In allen anderen Fällen genügt auch eine
außergerichtliche Aufkündigung. Die gerichtliche Aufkündigung hat
aber den Vorteil, dass gleich ein Exekutionstitel geschaffen wird.
Wird außergerichtlich aufgekündigt, so muss, um einen Räumungstitel
zu erwirken, gesondert auf Räumung geklagt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Beim Bestandverfahren handelt es sich nach der Konzeption des
Gesetzgebers um ein Eilverfahren.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Vollständigkeit halber sei als weiterer Räumungstitel des
Bestandverfahrens noch der Übergabeauftrag bzw Übernahmeauftrag
erwähnt (§ 567 ZPO). Damit kann bei befristeten
Bestandverträgen noch vor Ablauf der Bestandzeit eine gerichtliche
Verfügung erwirkt werden, mit der dem Gegner aufgetragen wird, den
Bestandgegenstand nach Ablauf der Frist zu übergeben bzw zu
übernehmen. So wird verhindert, dass das befristete
Bestandverhältnis konkludent in ein unbefristetes übergeht.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was das Rechtsmittelverfahren betrifft, kennt das
Bestandverfahren einige Besonderheiten: In Bestandstreitigkeiten,
in denen über eine Kündigung, über eine Räumung oder über das
Bestehen oder Nichtbestehen eines Vertrages entschieden wird, ist
die Revision ungeachtet des Streitwertes jedenfalls zulässig
(§ 502 Abs 5 Z 2 ZPO). Außerdem sind in derartigen
Bestandstreitigkeiten die Berufungsgründe auch dann nicht auf
Nichtigkeit des Verfahrens und unrichtige rechtliche Beurteilung
beschränkt, wenn der Streitwert unter EUR 2.700,– liegt
(§§ 501 Abs 2 iVm 505 Abs 5 Z 2 ZPO).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Rechtsanwender ist bei Beurteilung eines bestimmten
Verhaltens als grobes Verschulden an der nicht rechtzeitigen
Zahlung des Mietzinses ein gewisser Beurteilungsspielraum
eingeräumt. Der Vermieter muss den Mieter mahnen. Die Mahnung
bezweckt, den Mieter nochmals auf die bereits eingetretene
Fälligkeit seiner Mietzinsverbindlichkeit hinzuweisen und ihm durch
Setzung oder Gewährung einer Nachfrist Gelegenheit zu geben, durch
Bezahlung der Forderung die Gefahr der Aufkündigung abzuwenden. Die
Mahnung kann nur dann entfallen, wenn damit ein reiner Formalakt
gesetzt wurde, so etwa bei unbekanntem Aufenthalt des Mieters oder
wenn der Mieter die Leistung ausdrücklich verweigert.</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340598" w:name="note4"/>
            <w:bookmarkEnd w:id="54340598"/>
            <w:bookmarkStart w:id="9428389736690" w:name="note4"/>
            <w:r>
              <w:rPr>
                <w:rFonts w:ascii="Arial" w:hAnsi="Arial" w:eastAsia="Arial" w:cs="Arial"/>
                <w:b/>
                <w:bCs/>
                <w:color w:val="000000"/>
                <w:position w:val="0"/>
                <w:sz w:val="20"/>
                <w:szCs w:val="20"/>
              </w:rPr>
              <w:t xml:space="preserve">[4]</w:t>
            </w:r>
            <w:bookmarkEnd w:id="942838973669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Bestandgegenstand muss so genau bezeichnet werden, dass die
Exekution ohne weiteres möglich ist. Es empfiehlt sich daher, nicht
nur die Haus- bzw Wohnungsnummer, sondern auch die Anzahl der
Zimmer anzugeben. Es ist auch anzugeben, ob es sich um eine Wohn-
oder Geschäftsräumlichkeit handelt, da dies für die Kündigungsfrist
und auch für den Streitwert nach RATG maßgeblich ist. Für die
Bemessung des Streitwerts nach RATG kommt es auch auf die
Quadratmeterzahl an, welche daher ebenfalls anzuführen ist.</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980668" w:name="note5"/>
            <w:bookmarkEnd w:id="45980668"/>
            <w:bookmarkStart w:id="3497206288016" w:name="note5"/>
            <w:r>
              <w:rPr>
                <w:rFonts w:ascii="Arial" w:hAnsi="Arial" w:eastAsia="Arial" w:cs="Arial"/>
                <w:b/>
                <w:bCs/>
                <w:color w:val="000000"/>
                <w:position w:val="0"/>
                <w:sz w:val="20"/>
                <w:szCs w:val="20"/>
              </w:rPr>
              <w:t xml:space="preserve">[5]</w:t>
            </w:r>
            <w:bookmarkEnd w:id="34972062880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Aufkündigung muss dem Kündigungsgegner so rechtzeitig
zugehen, dass die gesamte Kündigungsfrist gewahrt bleibt. Die
Zustellung der Aufkündigung erfolgt durch das Gericht. Die Dauer
der gerichtlichen Zustellung muss daher einkalkuliert werden. Langt
die Aufkündigung erst nach Beginn der Kündigungsfrist bei Gericht
ein, ist sie von Amts wegen zurückzuweisen (§ 563 Abs 1
ZPO); vor Beginn der Kündigungsfrist eingebrachte Aufkündigungen
sind dem Kündigungsgegner dagegen zuzustellen, auch wenn absehbar
ist, dass die Zustellung nicht vor Beginn der Kündigungsfrist
bewirkt werden kann. Erhebt der Kündigungsgegner keine
Einwendungen, ist die Kündigung auch in diesem Fall zum genannten
Termin wirksam. Rügt der Gegner die Verspätung, so ist die
Aufkündigung gem § 563 Abs 2 ZPO für den nächstmöglichen
Termin wirksam.</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735815" w:name="note6"/>
            <w:bookmarkEnd w:id="45735815"/>
            <w:bookmarkStart w:id="7131787305095" w:name="note6"/>
            <w:r>
              <w:rPr>
                <w:rFonts w:ascii="Arial" w:hAnsi="Arial" w:eastAsia="Arial" w:cs="Arial"/>
                <w:b/>
                <w:bCs/>
                <w:color w:val="000000"/>
                <w:position w:val="0"/>
                <w:sz w:val="20"/>
                <w:szCs w:val="20"/>
              </w:rPr>
              <w:t xml:space="preserve">[6]</w:t>
            </w:r>
            <w:bookmarkEnd w:id="713178730509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560 Abs 1 Z 2 ZPO enthält detaillierte
Vorschriften über Kündigungstermine und -fristen für einzelne Arten
von Bestandverträgen. Diese Regelungen sind anzuwenden, sofern
keine abweichende vertragliche Vereinbarung getroffen wurde, oder
und insofern kein Nebengesetz eine entsprechende Bestimmung
enthält, was beispielsweise im Kleingartengesetz der Fall ist. Um
die wichtigsten Vertragstypen herauszugreifen, so sind
Pachtverträge, die nicht land- und forstwirtschaftlicher oder
gärtnerischer Natur sind (also insbesondere alle anderen
Unternehmenspachtverträge) zum 30.06. oder 31.12. unter Einhaltung
einer sechsmonatigen Kündigungsfrist aufzukündigen (§ 560
Abs 1 Z 2 lit d ZPO); Mietverträge über Wohnungen,
bei denen der Mietzins in monatlichen (oder kürzeren) Abständen zu
bezahlen ist, sind zum Monatsletzten unter Einhaltung einer
einmonatigen Kündigungsfrist aufzukündigen (§ 560 Abs 1
Z 2 lit d ZPO); Mietverträge über Geschäftsräumlichkeiten
sind zum 31.03., 30.06., 30.09. oder 31.12. unter Einhaltung einer
dreimonatigen Kündigungsfrist aufzukündigen (§ 560 Abs 1
Z 2 lit e ZPO). In der Aufkündigung muss daher
vorgebracht werden, um welche Art von Bestandvertrag es sich
handelt, damit Kündigungsfrist und -termin beurteilt werden können.
Natürlich muss auch der konkrete Kündigungstermin genannt werden,
zu dem das Bestandverhältnis enden soll.</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938478" w:name="note7"/>
            <w:bookmarkEnd w:id="61938478"/>
            <w:bookmarkStart w:id="30339992609" w:name="note7"/>
            <w:r>
              <w:rPr>
                <w:rFonts w:ascii="Arial" w:hAnsi="Arial" w:eastAsia="Arial" w:cs="Arial"/>
                <w:b/>
                <w:bCs/>
                <w:color w:val="000000"/>
                <w:position w:val="0"/>
                <w:sz w:val="20"/>
                <w:szCs w:val="20"/>
              </w:rPr>
              <w:t xml:space="preserve">[7]</w:t>
            </w:r>
            <w:bookmarkEnd w:id="303399926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Kündigungsgründe müssen durch den Vermieter zwingend bei
Aufkündigungen von Mietverträgen, die dem MRG unterliegen,
angeführt werden, da derartige Mietverträge nur aus den in
§ 30 MRG genannten Gründen aufgekündigt werden können. Hier
gilt die Eventualmaxime, das heißt, dass sämtliche Kündigungsgründe
schon in der Kündigung genannt werden müssen, andere
Kündigungsgründe können (in diesem Verfahren) nicht mehr geltend
gemacht werden. Es gibt auch einige weitere, allerdings in der
Praxis weniger bedeutsame Gesetzesbestimmungen, die für die
Aufkündigung von Bestandverträgen bestimmte Gründe vorschreiben,
wie beispielsweise § 12 Kleingartengesetz. Abgesehen davon
sind Kündigungsgründe relevant, sofern sie vertraglich vereinbart
wurden. Ansonsten ist die Nennung von Kündigungsgründen nicht
erforderlich.</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002337" w:name="note8"/>
            <w:bookmarkEnd w:id="57002337"/>
            <w:bookmarkStart w:id="1723405675703" w:name="note8"/>
            <w:r>
              <w:rPr>
                <w:rFonts w:ascii="Arial" w:hAnsi="Arial" w:eastAsia="Arial" w:cs="Arial"/>
                <w:b/>
                <w:bCs/>
                <w:color w:val="000000"/>
                <w:position w:val="0"/>
                <w:sz w:val="20"/>
                <w:szCs w:val="20"/>
              </w:rPr>
              <w:t xml:space="preserve">[8]</w:t>
            </w:r>
            <w:bookmarkEnd w:id="172340567570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gerichtliche Kündigung kann sowohl vom Vermieter als auch
vom Mieter eingebracht werden. Bei Kündigung durch den Vermieter
lautet der Beschluss dahingehend, dass der Mietgegenstand binnen 14
Tagen bei sonstiger Exekution geräumt von eigenen Fahrnissen zu
übergeben ist. Bei Kündigung durch den Mieter wird der gekündigten
Partei (also dem Vermieter) aufgetragen, den Bestandgegenstand
binnen 14 Tagen bei sonstiger Exekution zu übernehmen.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668197" w:name="note9"/>
            <w:bookmarkEnd w:id="23668197"/>
            <w:bookmarkStart w:id="8355864888908" w:name="note9"/>
            <w:r>
              <w:rPr>
                <w:rFonts w:ascii="Arial" w:hAnsi="Arial" w:eastAsia="Arial" w:cs="Arial"/>
                <w:b/>
                <w:bCs/>
                <w:color w:val="000000"/>
                <w:position w:val="0"/>
                <w:sz w:val="20"/>
                <w:szCs w:val="20"/>
              </w:rPr>
              <w:t xml:space="preserve">[9]</w:t>
            </w:r>
            <w:bookmarkEnd w:id="83558648889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Werden gegen die gerichtliche Aufkündigung nicht binnen vier
Wochen Einwendungen erhoben, wird diese rechtskräftig und
vollstreckbar. Dieser Exekutionstitel weist einige Besonderheiten
auf: Zum Ersten handelt es sich um ein so genanntes „iudicium
duplex“, das auch von der Gegenseite in Vollzug gesetzt werden kann
(§ 561 Abs 2 ZPO). Zum Zweiten tritt die Aufkündigung
außer Kraft, wenn nicht binnen sechs Monaten nach Ablauf der
Räumungsfrist die Exekution beantragt wird. Und zum Dritten ist die
gegen den Bestandnehmer erwirkte Aufkündigung auch gegen den
Afterbestandnehmer vollstreckbar (§ 568 ZPO). Es wird hier
also die Wirkung des Exekutionstitels auf einen Dritten, der am
Verfahren gar nicht notwendigerweise beteiligt war, ausgedehnt. Der
Afterbestandnehmer kann dem Verfahren allerdings als
Nebenintervenient beitreten, wobei der Hauptmieter gem § 2
Abs 2 MRG verpflichtet ist, dem Untermieter den Streit zu
verkünden.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091201" w:name="note10"/>
            <w:bookmarkEnd w:id="71091201"/>
            <w:bookmarkStart w:id="8611676341375" w:name="note10"/>
            <w:r>
              <w:rPr>
                <w:rFonts w:ascii="Arial" w:hAnsi="Arial" w:eastAsia="Arial" w:cs="Arial"/>
                <w:b/>
                <w:bCs/>
                <w:color w:val="000000"/>
                <w:position w:val="0"/>
                <w:sz w:val="20"/>
                <w:szCs w:val="20"/>
              </w:rPr>
              <w:t xml:space="preserve">[10]</w:t>
            </w:r>
            <w:bookmarkEnd w:id="86116763413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Anwendungsbereich des MRG kann die Räumungsfrist von 14 Tagen
um maximal neun Monate verlängert werden, wenn der Mieter wichtige
Gründe hierfür geltend macht, und dem Vermieter aus der Verzögerung
der Räumung kein unverhältnismäßiger Nachteil erwächst (§ 34
Abs 1 MRG). Überdies kann die Räumungsexekution aufgeschoben
werden, wenn dem Mieter sonst die Obdachlosigkeit drohen würde. Die
Dauer der Räumungsaufschübe darf aber insgesamt ein Jahr nicht
übersteigen (§ 35 Abs 1 MRG).</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608163" w:name="note11"/>
            <w:bookmarkEnd w:id="81608163"/>
            <w:bookmarkStart w:id="7024295335295" w:name="note11"/>
            <w:r>
              <w:rPr>
                <w:rFonts w:ascii="Arial" w:hAnsi="Arial" w:eastAsia="Arial" w:cs="Arial"/>
                <w:b/>
                <w:bCs/>
                <w:color w:val="000000"/>
                <w:position w:val="0"/>
                <w:sz w:val="20"/>
                <w:szCs w:val="20"/>
              </w:rPr>
              <w:t xml:space="preserve">[11]</w:t>
            </w:r>
            <w:bookmarkEnd w:id="702429533529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Einbringung der gerichtlichen Aufkündigung im ERV ist ein
sonstiger Schriftsatz zu erstellen, dem die Aufkündigung als
pdf-Dokument anzuschließen ist.</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96946" w:name="note12"/>
            <w:bookmarkEnd w:id="8896946"/>
            <w:bookmarkStart w:id="6039362334416" w:name="note12"/>
            <w:r>
              <w:rPr>
                <w:rFonts w:ascii="Arial" w:hAnsi="Arial" w:eastAsia="Arial" w:cs="Arial"/>
                <w:b/>
                <w:bCs/>
                <w:color w:val="000000"/>
                <w:position w:val="0"/>
                <w:sz w:val="20"/>
                <w:szCs w:val="20"/>
              </w:rPr>
              <w:t xml:space="preserve">[12]</w:t>
            </w:r>
            <w:bookmarkEnd w:id="603936233441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COVID-19-Regelung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Mieter einer Wohnung eine Mietzinszahlung, die im
Zeitraum vom 1. April 2020 bis zum 30. Juni 2020 fällig wird, nicht
oder nicht vollständig entrichtet, weil er als Folge der
COVID-19-Pandemie in seiner wirtschaftlichen Leistungsfähigkeit
erheblich beeinträchtigt ist, kann gem § 1 2. COVID-19-JuBG
der Vermieter allein wegen dieses Zahlungsrückstands den
Mietvertrag weder kündigen noch dessen Aufhebung nach § 1118
ABGB fordern. Der Vermieter kann den Zahlungsrückstand bis zum
Ablauf des 31. März 2021 nicht gerichtlich einfordern oder aus
einer vom Mieter übergebenen Kaution abdecken.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Zahlungsrückstand muss jedoch von Mietern bis spätestens
Mitte des Jahres 2022 entrichtet werden. Dann hat der Vermieter das
Recht, eine Kündigung des Mietvertrags oder eine Klage auf
Vertragsaufhebung auf diesen Rückstand zu stützen.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893342">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50645165">
    <w:multiLevelType w:val="hybridMultilevel"/>
    <w:lvl w:ilvl="0" w:tplc="84481480">
      <w:start w:val="1"/>
      <w:numFmt w:val="decimal"/>
      <w:lvlText w:val="%1."/>
      <w:lvlJc w:val="left"/>
      <w:pPr>
        <w:ind w:left="720" w:hanging="360"/>
      </w:pPr>
    </w:lvl>
    <w:lvl w:ilvl="1" w:tplc="84481480" w:tentative="1">
      <w:start w:val="1"/>
      <w:numFmt w:val="lowerLetter"/>
      <w:lvlText w:val="%2."/>
      <w:lvlJc w:val="left"/>
      <w:pPr>
        <w:ind w:left="1440" w:hanging="360"/>
      </w:pPr>
    </w:lvl>
    <w:lvl w:ilvl="2" w:tplc="84481480" w:tentative="1">
      <w:start w:val="1"/>
      <w:numFmt w:val="lowerRoman"/>
      <w:lvlText w:val="%3."/>
      <w:lvlJc w:val="right"/>
      <w:pPr>
        <w:ind w:left="2160" w:hanging="180"/>
      </w:pPr>
    </w:lvl>
    <w:lvl w:ilvl="3" w:tplc="84481480" w:tentative="1">
      <w:start w:val="1"/>
      <w:numFmt w:val="decimal"/>
      <w:lvlText w:val="%4."/>
      <w:lvlJc w:val="left"/>
      <w:pPr>
        <w:ind w:left="2880" w:hanging="360"/>
      </w:pPr>
    </w:lvl>
    <w:lvl w:ilvl="4" w:tplc="84481480" w:tentative="1">
      <w:start w:val="1"/>
      <w:numFmt w:val="lowerLetter"/>
      <w:lvlText w:val="%5."/>
      <w:lvlJc w:val="left"/>
      <w:pPr>
        <w:ind w:left="3600" w:hanging="360"/>
      </w:pPr>
    </w:lvl>
    <w:lvl w:ilvl="5" w:tplc="84481480" w:tentative="1">
      <w:start w:val="1"/>
      <w:numFmt w:val="lowerRoman"/>
      <w:lvlText w:val="%6."/>
      <w:lvlJc w:val="right"/>
      <w:pPr>
        <w:ind w:left="4320" w:hanging="180"/>
      </w:pPr>
    </w:lvl>
    <w:lvl w:ilvl="6" w:tplc="84481480" w:tentative="1">
      <w:start w:val="1"/>
      <w:numFmt w:val="decimal"/>
      <w:lvlText w:val="%7."/>
      <w:lvlJc w:val="left"/>
      <w:pPr>
        <w:ind w:left="5040" w:hanging="360"/>
      </w:pPr>
    </w:lvl>
    <w:lvl w:ilvl="7" w:tplc="84481480" w:tentative="1">
      <w:start w:val="1"/>
      <w:numFmt w:val="lowerLetter"/>
      <w:lvlText w:val="%8."/>
      <w:lvlJc w:val="left"/>
      <w:pPr>
        <w:ind w:left="5760" w:hanging="360"/>
      </w:pPr>
    </w:lvl>
    <w:lvl w:ilvl="8" w:tplc="84481480" w:tentative="1">
      <w:start w:val="1"/>
      <w:numFmt w:val="lowerRoman"/>
      <w:lvlText w:val="%9."/>
      <w:lvlJc w:val="right"/>
      <w:pPr>
        <w:ind w:left="6480" w:hanging="180"/>
      </w:pPr>
    </w:lvl>
  </w:abstractNum>
  <w:abstractNum w:abstractNumId="588072529">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50645164">
    <w:multiLevelType w:val="hybridMultilevel"/>
    <w:lvl w:ilvl="0" w:tplc="50861854">
      <w:start w:val="1"/>
      <w:numFmt w:val="decimal"/>
      <w:lvlText w:val="%1."/>
      <w:lvlJc w:val="left"/>
      <w:pPr>
        <w:ind w:left="720" w:hanging="360"/>
      </w:pPr>
    </w:lvl>
    <w:lvl w:ilvl="1" w:tplc="50861854" w:tentative="1">
      <w:start w:val="1"/>
      <w:numFmt w:val="lowerLetter"/>
      <w:lvlText w:val="%2."/>
      <w:lvlJc w:val="left"/>
      <w:pPr>
        <w:ind w:left="1440" w:hanging="360"/>
      </w:pPr>
    </w:lvl>
    <w:lvl w:ilvl="2" w:tplc="50861854" w:tentative="1">
      <w:start w:val="1"/>
      <w:numFmt w:val="lowerRoman"/>
      <w:lvlText w:val="%3."/>
      <w:lvlJc w:val="right"/>
      <w:pPr>
        <w:ind w:left="2160" w:hanging="180"/>
      </w:pPr>
    </w:lvl>
    <w:lvl w:ilvl="3" w:tplc="50861854" w:tentative="1">
      <w:start w:val="1"/>
      <w:numFmt w:val="decimal"/>
      <w:lvlText w:val="%4."/>
      <w:lvlJc w:val="left"/>
      <w:pPr>
        <w:ind w:left="2880" w:hanging="360"/>
      </w:pPr>
    </w:lvl>
    <w:lvl w:ilvl="4" w:tplc="50861854" w:tentative="1">
      <w:start w:val="1"/>
      <w:numFmt w:val="lowerLetter"/>
      <w:lvlText w:val="%5."/>
      <w:lvlJc w:val="left"/>
      <w:pPr>
        <w:ind w:left="3600" w:hanging="360"/>
      </w:pPr>
    </w:lvl>
    <w:lvl w:ilvl="5" w:tplc="50861854" w:tentative="1">
      <w:start w:val="1"/>
      <w:numFmt w:val="lowerRoman"/>
      <w:lvlText w:val="%6."/>
      <w:lvlJc w:val="right"/>
      <w:pPr>
        <w:ind w:left="4320" w:hanging="180"/>
      </w:pPr>
    </w:lvl>
    <w:lvl w:ilvl="6" w:tplc="50861854" w:tentative="1">
      <w:start w:val="1"/>
      <w:numFmt w:val="decimal"/>
      <w:lvlText w:val="%7."/>
      <w:lvlJc w:val="left"/>
      <w:pPr>
        <w:ind w:left="5040" w:hanging="360"/>
      </w:pPr>
    </w:lvl>
    <w:lvl w:ilvl="7" w:tplc="50861854" w:tentative="1">
      <w:start w:val="1"/>
      <w:numFmt w:val="lowerLetter"/>
      <w:lvlText w:val="%8."/>
      <w:lvlJc w:val="left"/>
      <w:pPr>
        <w:ind w:left="5760" w:hanging="360"/>
      </w:pPr>
    </w:lvl>
    <w:lvl w:ilvl="8" w:tplc="50861854" w:tentative="1">
      <w:start w:val="1"/>
      <w:numFmt w:val="lowerRoman"/>
      <w:lvlText w:val="%9."/>
      <w:lvlJc w:val="right"/>
      <w:pPr>
        <w:ind w:left="6480" w:hanging="180"/>
      </w:pPr>
    </w:lvl>
  </w:abstractNum>
  <w:abstractNum w:abstractNumId="50645163">
    <w:multiLevelType w:val="hybridMultilevel"/>
    <w:lvl w:ilvl="0" w:tplc="76949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45163">
    <w:abstractNumId w:val="50645163"/>
  </w:num>
  <w:num w:numId="50645164">
    <w:abstractNumId w:val="50645164"/>
  </w:num>
  <w:num w:numId="588072529">
    <w:abstractNumId w:val="588072529"/>
  </w:num>
  <w:num w:numId="50645165">
    <w:abstractNumId w:val="50645165"/>
  </w:num>
  <w:num w:numId="642893342">
    <w:abstractNumId w:val="642893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33679312" Type="http://schemas.openxmlformats.org/officeDocument/2006/relationships/numbering" Target="numbering.xml"/><Relationship Id="rId22823794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