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02337" w:name="document"/>
    <w:bookmarkEnd w:id="6002337"/>
    <w:p/>
    <w:p>
      <w:pPr>
        <w:widowControl w:val="on"/>
        <w:pBdr/>
        <w:spacing w:before="0" w:after="280" w:line="240" w:lineRule="auto"/>
        <w:ind w:left="0" w:right="0"/>
        <w:jc w:val="left"/>
      </w:pPr>
      <w:r>
        <w:rPr>
          <w:rFonts w:ascii="Arial" w:hAnsi="Arial" w:eastAsia="Arial" w:cs="Arial"/>
          <w:color w:val="363A40"/>
          <w:sz w:val="24"/>
          <w:szCs w:val="24"/>
        </w:rPr>
        <w:t xml:space="preserve">Dokument-ID: 877054 | FORUM Media (red) -
Albert Scherzer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Anerkennung als Hauptmieter iSv § 2 Abs 3 MRG</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Schlichtungsstelle MA 50</w:t>
      </w:r>
      <w:r>
        <w:rPr>
          <w:rFonts w:ascii="Arial" w:hAnsi="Arial" w:eastAsia="Arial" w:cs="Arial"/>
          <w:color w:val="000000"/>
          <w:sz w:val="20"/>
          <w:szCs w:val="20"/>
        </w:rPr>
        <w:br/>
        <w:t xml:space="preserve">Muthgasse 62</w:t>
      </w:r>
      <w:r>
        <w:rPr>
          <w:rFonts w:ascii="Arial" w:hAnsi="Arial" w:eastAsia="Arial" w:cs="Arial"/>
          <w:color w:val="000000"/>
          <w:sz w:val="20"/>
          <w:szCs w:val="20"/>
        </w:rPr>
        <w:br/>
        <w:t xml:space="preserve">1190 Wien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Erstantragsgegner: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[Scheinhauptmieter]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Zweitantragsgegner: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[alle Liegenschaftseigentümer]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37 Abs 1 Z 1 MRG (§ 2 Abs 3 MRG)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Anerkennung als
Hauptmieter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Dem Antragsteller wurde aufgrund einer Vereinbarung vom … die
Rechtsstellung eines „Untermieters“ eingeräumt. Tatsächlich kommt
dem Antragsteller die rechtliche Position eines Hauptmieters
zu.</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Vereinbarung vom …</w:t>
                  </w:r>
                  <w:r>
                    <w:rPr>
                      <w:rFonts w:ascii="Arial" w:hAnsi="Arial" w:eastAsia="Arial" w:cs="Arial"/>
                      <w:color w:val="000000"/>
                      <w:position w:val="0"/>
                      <w:sz w:val="20"/>
                      <w:szCs w:val="20"/>
                      <w:shd w:val="clear" w:color="auto" w:fill="FFFFFF"/>
                    </w:rPr>
                    <w:br/>
                    <w:t xml:space="preserve">PV</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Erstantragsgegner ist laut eigener Darstellung Hauptmieter
der im Hause …, Stiege …, gelegenen Wohnung Top Nr …
(Geschäftslokal in der Wohnung).</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(Die) Zweitantragsgegner sind laut Grundbuch Eigentümer
jener Liegenschaft, auf der das Gebäude mit der oben beschriebenen
Wohnung errichtet ist.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Offenes Grundbuch</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überhaupt zwischen dem Erstantragsgegner und
dem (den) Zweitantragsgegner(n) ein Hauptmietvertrag abgeschlossen
sein sollte, so erfolgte dieser Vertragsabschluss nur deshalb, um
den Antragsteller in seinen Rechten ungehörig zu beschränken. Davon
ist schon deshalb auszugehen, weil der Erstantragsgegner das
gegenständliche Objekt niemals für seine eigenen Zwecke verwendet
hat.</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p>
              </w:tc>
            </w:tr>
          </w:tbl>
          <w:p/>
        </w:tc>
      </w:tr>
    </w:tbl>
    <w:p>
      <w:pPr>
        <w:widowControl w:val="on"/>
        <w:pBdr/>
        <w:spacing w:before="140" w:after="240" w:line="288" w:lineRule="auto"/>
        <w:ind w:left="0" w:right="0"/>
        <w:jc w:val="left"/>
      </w:pPr>
      <w:r>
        <w:rPr>
          <w:rFonts w:ascii="Arial" w:hAnsi="Arial" w:eastAsia="Arial" w:cs="Arial"/>
          <w:color w:val="000000"/>
          <w:sz w:val="20"/>
          <w:szCs w:val="20"/>
        </w:rPr>
        <w:t xml:space="preserve">Gestellt wird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Zwischen dem Antragsteller und den
Antragsgegner wird festgestellt, dass der Antragsteller bezüglich
des Bestandobjektes … seit … [Datum] Hauptmieter ist.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Antragsteller]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shd w:val="clear" w:color="auto" w:fill="FFFFFF"/>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470005" w:name="note1"/>
            <w:bookmarkEnd w:id="18470005"/>
            <w:bookmarkStart w:id="8369508730201" w:name="note1"/>
            <w:r>
              <w:rPr>
                <w:rFonts w:ascii="Arial" w:hAnsi="Arial" w:eastAsia="Arial" w:cs="Arial"/>
                <w:b/>
                <w:bCs/>
                <w:color w:val="000000"/>
                <w:position w:val="0"/>
                <w:sz w:val="20"/>
                <w:szCs w:val="20"/>
              </w:rPr>
              <w:t xml:space="preserve">[1]</w:t>
            </w:r>
            <w:bookmarkEnd w:id="836950873020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Begehren auf Anerkennung als Hauptmieter nach § 2
Abs 3 MRG (§ 37 Abs 1 Z 1 MRG) zielt darauf ab,
die strittige Frage des Bestands eines Hauptmietvertrags zwischen
dem bisherigen Untermieter und dem Vermieter zu klären. Im Antrag
muss behauptet werden, dass der Hauptmietvertrag nur zur
Untervermietung durch die Hauptmieter und zur Umgehung der, den
Hauptmietern nach dem MRG zustehenden Rechte abgeschlossen wurde
(Scheinuntermiete). Bei der Bewertung dieses
Entscheidungsgegenstands ist nach § 58 Abs 2 JN
vorzugehen (§ 59 Abs 2 AußStrG).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836410" w:name="note2"/>
            <w:bookmarkEnd w:id="40836410"/>
            <w:bookmarkStart w:id="7747158827024" w:name="note2"/>
            <w:r>
              <w:rPr>
                <w:rFonts w:ascii="Arial" w:hAnsi="Arial" w:eastAsia="Arial" w:cs="Arial"/>
                <w:b/>
                <w:bCs/>
                <w:color w:val="000000"/>
                <w:position w:val="0"/>
                <w:sz w:val="20"/>
                <w:szCs w:val="20"/>
              </w:rPr>
              <w:t xml:space="preserve">[2]</w:t>
            </w:r>
            <w:bookmarkEnd w:id="774715882702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Umgehungsabsicht liegt schon dann vor, wenn es den Parteien des
formellen Hauptmietvertrages gleichgültig ist oder sie sich damit
abfinden, dass der die Wohnung tatsächlich benützende Untermieter
weniger Rechte erhält, als sie einem durch das MRG geschützten
Hauptmieter zustünden, indem er zum Beispiel mehr als den
gesetzlich zulässigen Hauptmietzins zahlen muss oder geringeren
Kündigungsschutz genießt. Hinweis auf das konkrete Vorliegen von
Anhaltspunkten für eine Scheinuntermiete liegen nur dann vor, wenn
die Hauptmieter mehr als eine Wohnung im selben Gebäude zur Gänze
untervermieten oder zwischen den Hauseigentümern und
Untervermietern überhaupt kein Mietvertrag abgeschlossen wurde.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526445" w:name="note3"/>
            <w:bookmarkEnd w:id="34526445"/>
            <w:bookmarkStart w:id="2160368129892" w:name="note3"/>
            <w:r>
              <w:rPr>
                <w:rFonts w:ascii="Arial" w:hAnsi="Arial" w:eastAsia="Arial" w:cs="Arial"/>
                <w:b/>
                <w:bCs/>
                <w:color w:val="000000"/>
                <w:position w:val="0"/>
                <w:sz w:val="20"/>
                <w:szCs w:val="20"/>
              </w:rPr>
              <w:t xml:space="preserve">[3]</w:t>
            </w:r>
            <w:bookmarkEnd w:id="216036812989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Hauptmiete liegt vor, wenn der Mietvertrag mit</w:t>
            </w:r>
          </w:p>
          <w:p>
            <w:pPr>
              <w:numPr>
                <w:ilvl w:val="0"/>
                <w:numId w:val="1528933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Eigentümerinnen der Liegenschaft,</w:t>
            </w:r>
          </w:p>
          <w:p>
            <w:pPr>
              <w:numPr>
                <w:ilvl w:val="0"/>
                <w:numId w:val="1528933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Fruchtgenussberechtigten,</w:t>
            </w:r>
          </w:p>
          <w:p>
            <w:pPr>
              <w:numPr>
                <w:ilvl w:val="0"/>
                <w:numId w:val="1528933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Wohnungseigentümerinnen,</w:t>
            </w:r>
          </w:p>
          <w:p>
            <w:pPr>
              <w:numPr>
                <w:ilvl w:val="0"/>
                <w:numId w:val="1528933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Wohnungseigentumsbewerberinnen,</w:t>
            </w:r>
          </w:p>
          <w:p>
            <w:pPr>
              <w:numPr>
                <w:ilvl w:val="0"/>
                <w:numId w:val="15289334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den Mieterinnen oder Pächterinnen eines ganzen Hauses
abgeschlossen worden ist, auch wenn die Vertragsurkunde als
„Untermietvertrag“ bezeichnet wurde. In diesem Fall sind die
Mieterinnen bereits Hauptmieterinnen. Liegt ein derartiges
Mietverhältnis vor, ist eine Antragstellung nach § 2
Abs 3 MRG bei der Schlichtungsstelle nicht möglich. Eine
Feststellung der Hauptmietereigenschaft ist hier nur im streitigen
Verfahren beim Bezirksgericht möglich (Feststellungsklage).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093644" w:name="note4"/>
            <w:bookmarkEnd w:id="42093644"/>
            <w:bookmarkStart w:id="3532301730407" w:name="note4"/>
            <w:r>
              <w:rPr>
                <w:rFonts w:ascii="Arial" w:hAnsi="Arial" w:eastAsia="Arial" w:cs="Arial"/>
                <w:b/>
                <w:bCs/>
                <w:color w:val="000000"/>
                <w:position w:val="0"/>
                <w:sz w:val="20"/>
                <w:szCs w:val="20"/>
              </w:rPr>
              <w:t xml:space="preserve">[4]</w:t>
            </w:r>
            <w:bookmarkEnd w:id="35323017304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Zur Antragstellung sind jene Mieter berechtigt, die aufgrund
eines mündlichen oder schriftlichen Untermietvertrags in dem
Mietgegenstand wohnen. Antragsgegner sind die angeblichen
Hauptmieter oder die Eigentümer des Mietgegenstandes.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125890" w:name="note5"/>
            <w:bookmarkEnd w:id="28125890"/>
            <w:bookmarkStart w:id="4531619597329" w:name="note5"/>
            <w:r>
              <w:rPr>
                <w:rFonts w:ascii="Arial" w:hAnsi="Arial" w:eastAsia="Arial" w:cs="Arial"/>
                <w:b/>
                <w:bCs/>
                <w:color w:val="000000"/>
                <w:position w:val="0"/>
                <w:sz w:val="20"/>
                <w:szCs w:val="20"/>
              </w:rPr>
              <w:t xml:space="preserve">[5]</w:t>
            </w:r>
            <w:bookmarkEnd w:id="453161959732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Beilagen zum Antrag sind Kopien des Untermietvertrags, und
Kopien der Zahlungsbelege, die zur Feststellung dienen, an wen der
Untermietzins bezahlt wurde.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89334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700413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007321">
    <w:multiLevelType w:val="hybridMultilevel"/>
    <w:lvl w:ilvl="0" w:tplc="28970169">
      <w:start w:val="1"/>
      <w:numFmt w:val="decimal"/>
      <w:lvlText w:val="%1."/>
      <w:lvlJc w:val="left"/>
      <w:pPr>
        <w:ind w:left="720" w:hanging="360"/>
      </w:pPr>
    </w:lvl>
    <w:lvl w:ilvl="1" w:tplc="28970169" w:tentative="1">
      <w:start w:val="1"/>
      <w:numFmt w:val="lowerLetter"/>
      <w:lvlText w:val="%2."/>
      <w:lvlJc w:val="left"/>
      <w:pPr>
        <w:ind w:left="1440" w:hanging="360"/>
      </w:pPr>
    </w:lvl>
    <w:lvl w:ilvl="2" w:tplc="28970169" w:tentative="1">
      <w:start w:val="1"/>
      <w:numFmt w:val="lowerRoman"/>
      <w:lvlText w:val="%3."/>
      <w:lvlJc w:val="right"/>
      <w:pPr>
        <w:ind w:left="2160" w:hanging="180"/>
      </w:pPr>
    </w:lvl>
    <w:lvl w:ilvl="3" w:tplc="28970169" w:tentative="1">
      <w:start w:val="1"/>
      <w:numFmt w:val="decimal"/>
      <w:lvlText w:val="%4."/>
      <w:lvlJc w:val="left"/>
      <w:pPr>
        <w:ind w:left="2880" w:hanging="360"/>
      </w:pPr>
    </w:lvl>
    <w:lvl w:ilvl="4" w:tplc="28970169" w:tentative="1">
      <w:start w:val="1"/>
      <w:numFmt w:val="lowerLetter"/>
      <w:lvlText w:val="%5."/>
      <w:lvlJc w:val="left"/>
      <w:pPr>
        <w:ind w:left="3600" w:hanging="360"/>
      </w:pPr>
    </w:lvl>
    <w:lvl w:ilvl="5" w:tplc="28970169" w:tentative="1">
      <w:start w:val="1"/>
      <w:numFmt w:val="lowerRoman"/>
      <w:lvlText w:val="%6."/>
      <w:lvlJc w:val="right"/>
      <w:pPr>
        <w:ind w:left="4320" w:hanging="180"/>
      </w:pPr>
    </w:lvl>
    <w:lvl w:ilvl="6" w:tplc="28970169" w:tentative="1">
      <w:start w:val="1"/>
      <w:numFmt w:val="decimal"/>
      <w:lvlText w:val="%7."/>
      <w:lvlJc w:val="left"/>
      <w:pPr>
        <w:ind w:left="5040" w:hanging="360"/>
      </w:pPr>
    </w:lvl>
    <w:lvl w:ilvl="7" w:tplc="28970169" w:tentative="1">
      <w:start w:val="1"/>
      <w:numFmt w:val="lowerLetter"/>
      <w:lvlText w:val="%8."/>
      <w:lvlJc w:val="left"/>
      <w:pPr>
        <w:ind w:left="5760" w:hanging="360"/>
      </w:pPr>
    </w:lvl>
    <w:lvl w:ilvl="8" w:tplc="28970169" w:tentative="1">
      <w:start w:val="1"/>
      <w:numFmt w:val="lowerRoman"/>
      <w:lvlText w:val="%9."/>
      <w:lvlJc w:val="right"/>
      <w:pPr>
        <w:ind w:left="6480" w:hanging="180"/>
      </w:pPr>
    </w:lvl>
  </w:abstractNum>
  <w:abstractNum w:abstractNumId="22007320">
    <w:multiLevelType w:val="hybridMultilevel"/>
    <w:lvl w:ilvl="0" w:tplc="81145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07320">
    <w:abstractNumId w:val="22007320"/>
  </w:num>
  <w:num w:numId="22007321">
    <w:abstractNumId w:val="22007321"/>
  </w:num>
  <w:num w:numId="347004138">
    <w:abstractNumId w:val="347004138"/>
  </w:num>
  <w:num w:numId="152893343">
    <w:abstractNumId w:val="152893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96974512" Type="http://schemas.openxmlformats.org/officeDocument/2006/relationships/numbering" Target="numbering.xml"/><Relationship Id="rId62361805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