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0976526" w:name="document"/>
    <w:bookmarkEnd w:id="20976526"/>
    <w:p/>
    <w:p>
      <w:pPr>
        <w:widowControl w:val="on"/>
        <w:pBdr/>
        <w:spacing w:before="0" w:after="280" w:line="240" w:lineRule="auto"/>
        <w:ind w:left="0" w:right="0"/>
        <w:jc w:val="left"/>
      </w:pPr>
      <w:r>
        <w:rPr>
          <w:rFonts w:ascii="Arial" w:hAnsi="Arial" w:eastAsia="Arial" w:cs="Arial"/>
          <w:color w:val="363A40"/>
          <w:sz w:val="24"/>
          <w:szCs w:val="24"/>
        </w:rPr>
        <w:t xml:space="preserve">Dokument-ID: 878554 | Maria Brandstetter -
Daniela Hrdlovic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Aufkündigung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Leopoldstadt</w:t>
      </w:r>
      <w:r>
        <w:rPr>
          <w:rFonts w:ascii="Arial" w:hAnsi="Arial" w:eastAsia="Arial" w:cs="Arial"/>
          <w:color w:val="000000"/>
          <w:sz w:val="20"/>
          <w:szCs w:val="20"/>
        </w:rPr>
        <w:br/>
        <w:t xml:space="preserve">Taborstraße</w:t>
      </w:r>
      <w:r>
        <w:rPr>
          <w:rFonts w:ascii="Arial" w:hAnsi="Arial" w:eastAsia="Arial" w:cs="Arial"/>
          <w:color w:val="000000"/>
          <w:sz w:val="20"/>
          <w:szCs w:val="20"/>
        </w:rPr>
        <w:br/>
        <w:t xml:space="preserve">1020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Kündigende Partei:</w:t>
            </w:r>
          </w:p>
        </w:tc>
        <w:tc>
          <w:tcPr>
            <w:tcW w:w="0" w:type="auto"/>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Verpächter (Name)</w:t>
            </w:r>
            <w:r>
              <w:rPr>
                <w:rFonts w:ascii="Arial" w:hAnsi="Arial" w:eastAsia="Arial" w:cs="Arial"/>
                <w:color w:val="363A4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Pächter (Name)</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Kündigungsgegenstand: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Gasthaus „Zum stillen Zecher“</w:t>
            </w:r>
            <w:r>
              <w:rPr>
                <w:rFonts w:ascii="Arial" w:hAnsi="Arial" w:eastAsia="Arial" w:cs="Arial"/>
                <w:color w:val="000000"/>
                <w:position w:val="0"/>
                <w:sz w:val="20"/>
                <w:szCs w:val="20"/>
                <w:shd w:val="clear" w:color="auto" w:fill="FFFFFF"/>
              </w:rPr>
              <w:br/>
              <w:t xml:space="preserve">Musterstraße 12</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Aufkündigung</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Wir haben dem Kündigungsgegner den in 1010 Wien, Musterstraße 12
gelegenen Gastgewerbebetrieb mit der Etablissementbezeichnung „Zum
stillen Zecher“ einschließlich Inventar gemäß Inventarliste für
fünf Jahre bis einschließlich 31.12. … verpachtet. Mit Vereinbarung
vom … wurde der Pachtvertrag auf unbestimmte Zeit verlängert und
zugleich vereinbart, dass dieser jeweils zum 31.12. unter
Einhaltung einer sechsmonatigen Kündigungsfrist aufgekündigt werden
kann.</w:t>
      </w:r>
    </w:p>
    <w:p>
      <w:pPr>
        <w:widowControl w:val="on"/>
        <w:pBdr/>
        <w:spacing w:before="140" w:after="240" w:line="288" w:lineRule="auto"/>
        <w:ind w:left="0" w:right="0"/>
        <w:jc w:val="left"/>
      </w:pPr>
      <w:r>
        <w:rPr>
          <w:rFonts w:ascii="Arial" w:hAnsi="Arial" w:eastAsia="Arial" w:cs="Arial"/>
          <w:color w:val="000000"/>
          <w:sz w:val="20"/>
          <w:szCs w:val="20"/>
        </w:rPr>
        <w:t xml:space="preserve">Wir kündigen nunmehr dem Kündigungsgegner den Bestandgegenstand
gegen Einhaltung einer sechsmonatigen Kündigungsfrist</w:t>
      </w:r>
    </w:p>
    <w:p>
      <w:pPr>
        <w:widowControl w:val="on"/>
        <w:pBdr/>
        <w:spacing w:before="140" w:after="240" w:line="288" w:lineRule="auto"/>
        <w:ind w:left="0" w:right="0"/>
        <w:jc w:val="center"/>
      </w:pPr>
      <w:r>
        <w:rPr>
          <w:rFonts w:ascii="Arial" w:hAnsi="Arial" w:eastAsia="Arial" w:cs="Arial"/>
          <w:color w:val="000000"/>
          <w:sz w:val="20"/>
          <w:szCs w:val="20"/>
        </w:rPr>
        <w:t xml:space="preserve">zum 31.12. …</w:t>
      </w:r>
    </w:p>
    <w:p>
      <w:pPr>
        <w:widowControl w:val="on"/>
        <w:pBdr/>
        <w:spacing w:before="140" w:after="240" w:line="288" w:lineRule="auto"/>
        <w:ind w:left="0" w:right="0"/>
        <w:jc w:val="left"/>
      </w:pPr>
      <w:r>
        <w:rPr>
          <w:rFonts w:ascii="Arial" w:hAnsi="Arial" w:eastAsia="Arial" w:cs="Arial"/>
          <w:color w:val="000000"/>
          <w:sz w:val="20"/>
          <w:szCs w:val="20"/>
        </w:rPr>
        <w:t xml:space="preserve">gerichtlich auf und beantragen, dem Kündigungsgegner
aufzutragen:</w:t>
      </w:r>
    </w:p>
    <w:p>
      <w:pPr>
        <w:numPr>
          <w:ilvl w:val="0"/>
          <w:numId w:val="9417638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angegebenen Bestandgegenstand längstens binnen 14 Tagen
nach dem genannten Termin bei Exekution zu übergeben oder</w:t>
      </w:r>
    </w:p>
    <w:p>
      <w:pPr>
        <w:numPr>
          <w:ilvl w:val="0"/>
          <w:numId w:val="9417638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 die Aufkündigung binnen vier Wochen Einwendungen
anzubringen</w:t>
      </w:r>
    </w:p>
    <w:p>
      <w:pPr>
        <w:widowControl w:val="on"/>
        <w:pBdr/>
        <w:spacing w:before="140" w:after="240" w:line="288" w:lineRule="auto"/>
        <w:ind w:left="0" w:right="0"/>
        <w:jc w:val="left"/>
      </w:pPr>
      <w:r>
        <w:rPr>
          <w:rFonts w:ascii="Arial" w:hAnsi="Arial" w:eastAsia="Arial" w:cs="Arial"/>
          <w:color w:val="000000"/>
          <w:sz w:val="20"/>
          <w:szCs w:val="20"/>
        </w:rPr>
        <w:t xml:space="preserve">Da ein Pachtvertrag vorliegt, ist die Angabe von
Kündigungsgründen nicht erforderlich.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Pachtvertrag vom …</w:t>
            </w:r>
            <w:r>
              <w:rPr>
                <w:rFonts w:ascii="Arial" w:hAnsi="Arial" w:eastAsia="Arial" w:cs="Arial"/>
                <w:color w:val="000000"/>
                <w:position w:val="0"/>
                <w:sz w:val="20"/>
                <w:szCs w:val="20"/>
                <w:shd w:val="clear" w:color="auto" w:fill="FFFFFF"/>
              </w:rPr>
              <w:br/>
              <w:t xml:space="preserve">Nachtrag zum Pachtvertrag vom …</w:t>
            </w:r>
            <w:r>
              <w:rPr>
                <w:rFonts w:ascii="Arial" w:hAnsi="Arial" w:eastAsia="Arial" w:cs="Arial"/>
                <w:color w:val="000000"/>
                <w:position w:val="0"/>
                <w:sz w:val="20"/>
                <w:szCs w:val="20"/>
                <w:shd w:val="clear" w:color="auto" w:fill="FFFFFF"/>
              </w:rPr>
              <w:br/>
              <w:t xml:space="preserve">Grundbuchsauszug,</w:t>
            </w:r>
            <w:r>
              <w:rPr>
                <w:rFonts w:ascii="Arial" w:hAnsi="Arial" w:eastAsia="Arial" w:cs="Arial"/>
                <w:color w:val="000000"/>
                <w:position w:val="0"/>
                <w:sz w:val="20"/>
                <w:szCs w:val="20"/>
                <w:shd w:val="clear" w:color="auto" w:fill="FFFFFF"/>
              </w:rPr>
              <w:br/>
              <w:t xml:space="preserve">Parteienvernehmung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Verpächter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Beschluss des Gerichtes</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614860" w:name="note1"/>
            <w:bookmarkEnd w:id="75614860"/>
            <w:bookmarkStart w:id="1152666647683" w:name="note1"/>
            <w:r>
              <w:rPr>
                <w:rFonts w:ascii="Arial" w:hAnsi="Arial" w:eastAsia="Arial" w:cs="Arial"/>
                <w:b/>
                <w:bCs/>
                <w:color w:val="000000"/>
                <w:position w:val="0"/>
                <w:sz w:val="20"/>
                <w:szCs w:val="20"/>
              </w:rPr>
              <w:t xml:space="preserve">[1]</w:t>
            </w:r>
            <w:bookmarkEnd w:id="11526666476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Zuständig ist das Bezirksgericht, in dessen Sprengel der
Pachtgegenstand liegt.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740616" w:name="note2"/>
            <w:bookmarkEnd w:id="64740616"/>
            <w:bookmarkStart w:id="1653499398049" w:name="note2"/>
            <w:r>
              <w:rPr>
                <w:rFonts w:ascii="Arial" w:hAnsi="Arial" w:eastAsia="Arial" w:cs="Arial"/>
                <w:b/>
                <w:bCs/>
                <w:color w:val="000000"/>
                <w:position w:val="0"/>
                <w:sz w:val="20"/>
                <w:szCs w:val="20"/>
              </w:rPr>
              <w:t xml:space="preserve">[2]</w:t>
            </w:r>
            <w:bookmarkEnd w:id="16534993980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Nähere Hinweise: siehe Fachbeitrag „Kündigung“.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243905" w:name="note3"/>
            <w:bookmarkEnd w:id="68243905"/>
            <w:bookmarkStart w:id="6059178854402" w:name="note3"/>
            <w:r>
              <w:rPr>
                <w:rFonts w:ascii="Arial" w:hAnsi="Arial" w:eastAsia="Arial" w:cs="Arial"/>
                <w:b/>
                <w:bCs/>
                <w:color w:val="000000"/>
                <w:position w:val="0"/>
                <w:sz w:val="20"/>
                <w:szCs w:val="20"/>
              </w:rPr>
              <w:t xml:space="preserve">[3]</w:t>
            </w:r>
            <w:bookmarkEnd w:id="60591788544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Judikatur zur gerichtlichen Aukündigung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Aufkündigung hat einerseits die materiellrechtliche
Funktion, das Bestandverhältnis durch eine rechtsgestaltende
Erklärung zu beenden, und andererseits die formellrechtliche
Funktion, dem Aufkündigenden einen Exekutionstitel iSd § 1
Z 4 EO für die Übernahme beziehungsweise Übergabe des
Bestandgegenstands zu verschaffen (RS0111668).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gerichtliche Aufkündigung setzt das Vorliegen eines
Bestandverhältnisses voraus (RS0020856).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bloß der Schriftsatz über die gerichtliche Aufkündigung,
nicht aber der gerichtliche Räumungsauftrag (Gerichtsbeschluss) der
gekündigten Partei zugestellt, dann kann mangels Zustellung dieses
Beschlusses auch die Frist zur Erhebung der Einwendungen nicht in
Gang gesetzt werden. Unterbleibt die Zustellung des
Gerichtsbeschlusses, dann ist diese Zustellung nachzuholen. Es kann
aber nicht die Wiedereinsetzung gegen die Versäumung der Frist zur
Erhebung der Einwendungen erhoben werden, weil diese Frist nicht
von der Zustellung des Kündigungsschriftsatzes, sondern von der
Zustellung des gerichtlichen Räumungsauftrages in Gang gesetzt
wird. Wird ein gerichtliches Schriftstück nicht wirksam zugestellt,
löst es auch keine Frist aus. Eine Wiedereinsetzung der Frist in
den vorigen Stand ist damit nicht möglich, weil die Partei keine
Frist versäumt hat ([T5]; RS0044870; OGH 02.02.2024, 18 OCg
1/23f).</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gerichtliche Aufkündigung muss den aufgekündigten
Bestandgegenstand so genau bezeichnen, dass kein Zweifel bestehen
kann, auf welches Objekt sich die Aufkündigung bezieht. Nur bei
unwesentlichen Fehlern in der Bezeichnung des Bestandgegenstandes,
die keinen Zweifel an der Identität aufkommen lassen, ist eine
Präzisierung oder Richtigstellung der Bezeichnung des
Bestandgegenstandes nachträglich zulässig (vgl MietSlg 18.689,
21.289, 22.642 ua); (RS0000083; OGH 31.05.2023, 4 Ob
36/23g). </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Enthält ein gesetzlicher Kündigungsgrund mehrere Tatbestände,
muss der geltend gemachte Tatbestand in der Aufkündigung
individualisiert werden. Geschah dies, kommt es bei der
Entscheidung darüber, was als Kündigungstatbestand geltend gemacht
wurde, nur auf diese Tatsachenbehauptungen an. Die durch § 33
Abs 1 MRG normierte Eventualmaxime für die gerichtliche
Aufkündigung bedeutet, dass der geltend gemachte Kündigungsgrund
bereits in der Kündigung individualisiert werden muss, wozu die
Angabe einer bestimmten Gesetzesstelle nur dann genügt, wenn diese
nur einen Tatbestand enthält [T13]; Beisatz: Unklare oder
mangelhafte Ausführungen des Kündigungsgrunds gehen immer zulasten
des Kündigenden [T14]; (RS0106599; OGH 28.03.2023, 4 Ob 2/23g).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Nennung eines Kündigungstermins ist essenzielles Erfordernis
für eine gerichtliche Aufkündigung (RS0044846; OGH 24.06.2021, 2 Ob
103/21t).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gerichtliche Aufkündigung für rechtswirksam erkannt,
dann endet das Bestandverhältnis immer mit dem gem § 562
Abs 1 ZPO in der Kündigung anzugebenden Zeitpunkt,
gleichgültig, ob das die Kündigung für rechtswirksam erklärende
Urteil des Gerichtes vor oder nach diesem Zeitpunkt ergeht
(RS0044763; OGH 19.01.2023, 5 Ob 219/22z).</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7638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30642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787888">
    <w:multiLevelType w:val="hybridMultilevel"/>
    <w:lvl w:ilvl="0" w:tplc="44294083">
      <w:start w:val="1"/>
      <w:numFmt w:val="decimal"/>
      <w:lvlText w:val="%1."/>
      <w:lvlJc w:val="left"/>
      <w:pPr>
        <w:ind w:left="720" w:hanging="360"/>
      </w:pPr>
    </w:lvl>
    <w:lvl w:ilvl="1" w:tplc="44294083" w:tentative="1">
      <w:start w:val="1"/>
      <w:numFmt w:val="lowerLetter"/>
      <w:lvlText w:val="%2."/>
      <w:lvlJc w:val="left"/>
      <w:pPr>
        <w:ind w:left="1440" w:hanging="360"/>
      </w:pPr>
    </w:lvl>
    <w:lvl w:ilvl="2" w:tplc="44294083" w:tentative="1">
      <w:start w:val="1"/>
      <w:numFmt w:val="lowerRoman"/>
      <w:lvlText w:val="%3."/>
      <w:lvlJc w:val="right"/>
      <w:pPr>
        <w:ind w:left="2160" w:hanging="180"/>
      </w:pPr>
    </w:lvl>
    <w:lvl w:ilvl="3" w:tplc="44294083" w:tentative="1">
      <w:start w:val="1"/>
      <w:numFmt w:val="decimal"/>
      <w:lvlText w:val="%4."/>
      <w:lvlJc w:val="left"/>
      <w:pPr>
        <w:ind w:left="2880" w:hanging="360"/>
      </w:pPr>
    </w:lvl>
    <w:lvl w:ilvl="4" w:tplc="44294083" w:tentative="1">
      <w:start w:val="1"/>
      <w:numFmt w:val="lowerLetter"/>
      <w:lvlText w:val="%5."/>
      <w:lvlJc w:val="left"/>
      <w:pPr>
        <w:ind w:left="3600" w:hanging="360"/>
      </w:pPr>
    </w:lvl>
    <w:lvl w:ilvl="5" w:tplc="44294083" w:tentative="1">
      <w:start w:val="1"/>
      <w:numFmt w:val="lowerRoman"/>
      <w:lvlText w:val="%6."/>
      <w:lvlJc w:val="right"/>
      <w:pPr>
        <w:ind w:left="4320" w:hanging="180"/>
      </w:pPr>
    </w:lvl>
    <w:lvl w:ilvl="6" w:tplc="44294083" w:tentative="1">
      <w:start w:val="1"/>
      <w:numFmt w:val="decimal"/>
      <w:lvlText w:val="%7."/>
      <w:lvlJc w:val="left"/>
      <w:pPr>
        <w:ind w:left="5040" w:hanging="360"/>
      </w:pPr>
    </w:lvl>
    <w:lvl w:ilvl="7" w:tplc="44294083" w:tentative="1">
      <w:start w:val="1"/>
      <w:numFmt w:val="lowerLetter"/>
      <w:lvlText w:val="%8."/>
      <w:lvlJc w:val="left"/>
      <w:pPr>
        <w:ind w:left="5760" w:hanging="360"/>
      </w:pPr>
    </w:lvl>
    <w:lvl w:ilvl="8" w:tplc="44294083" w:tentative="1">
      <w:start w:val="1"/>
      <w:numFmt w:val="lowerRoman"/>
      <w:lvlText w:val="%9."/>
      <w:lvlJc w:val="right"/>
      <w:pPr>
        <w:ind w:left="6480" w:hanging="180"/>
      </w:pPr>
    </w:lvl>
  </w:abstractNum>
  <w:abstractNum w:abstractNumId="23787887">
    <w:multiLevelType w:val="hybridMultilevel"/>
    <w:lvl w:ilvl="0" w:tplc="75377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87887">
    <w:abstractNumId w:val="23787887"/>
  </w:num>
  <w:num w:numId="23787888">
    <w:abstractNumId w:val="23787888"/>
  </w:num>
  <w:num w:numId="283064249">
    <w:abstractNumId w:val="283064249"/>
  </w:num>
  <w:num w:numId="941763874">
    <w:abstractNumId w:val="941763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6822462" Type="http://schemas.openxmlformats.org/officeDocument/2006/relationships/numbering" Target="numbering.xml"/><Relationship Id="rId90992859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