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0823323" w:name="document"/>
    <w:bookmarkEnd w:id="10823323"/>
    <w:p/>
    <w:p>
      <w:pPr>
        <w:widowControl w:val="on"/>
        <w:pBdr/>
        <w:spacing w:before="0" w:after="280" w:line="240" w:lineRule="auto"/>
        <w:ind w:left="0" w:right="0"/>
        <w:jc w:val="left"/>
      </w:pPr>
      <w:r>
        <w:rPr>
          <w:rFonts w:ascii="Arial" w:hAnsi="Arial" w:eastAsia="Arial" w:cs="Arial"/>
          <w:color w:val="363A40"/>
          <w:sz w:val="24"/>
          <w:szCs w:val="24"/>
        </w:rPr>
        <w:t xml:space="preserve">Dokument-ID: 866194 | Martin Klemm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Deckungsklage gegen Rechtsschutzversicherung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stellt eine Deckungsklage gegen die
Rechtsschutzversicherung dar, welche sich mit der Behauptung, dass
der zu deckende Prozess nicht in den Bereich der abgeschlossenen
Versicherung fällt, weigert, die Kostendeckung zu übernehmen.
Deckungsklagen sollten generell nur als ultima ratio gewählt
werden, sind aber – insbesondere bei eindeutigen Fällen – die
einzige Möglichkeit den Deckungsanspruch gegenüber dem
Rechtsschutzversicherer durchzusetzen.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für Handelssachen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02.02.2025</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Mitmirnicht</w:t>
            </w:r>
            <w:r>
              <w:rPr>
                <w:rFonts w:ascii="Arial" w:hAnsi="Arial" w:eastAsia="Arial" w:cs="Arial"/>
                <w:color w:val="000000"/>
                <w:position w:val="0"/>
                <w:sz w:val="20"/>
                <w:szCs w:val="20"/>
                <w:shd w:val="clear" w:color="auto" w:fill="FFFFFF"/>
              </w:rPr>
              <w:br/>
              <w:t xml:space="preserve">Große Straße 17/2/4</w:t>
            </w:r>
            <w:r>
              <w:rPr>
                <w:rFonts w:ascii="Arial" w:hAnsi="Arial" w:eastAsia="Arial" w:cs="Arial"/>
                <w:color w:val="000000"/>
                <w:position w:val="0"/>
                <w:sz w:val="20"/>
                <w:szCs w:val="20"/>
                <w:shd w:val="clear" w:color="auto" w:fill="FFFFFF"/>
              </w:rPr>
              <w:br/>
              <w:t xml:space="preserve">1170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Links-Rechts Versicherung AG</w:t>
            </w:r>
            <w:r>
              <w:rPr>
                <w:rFonts w:ascii="Arial" w:hAnsi="Arial" w:eastAsia="Arial" w:cs="Arial"/>
                <w:color w:val="000000"/>
                <w:position w:val="0"/>
                <w:sz w:val="20"/>
                <w:szCs w:val="20"/>
                <w:shd w:val="clear" w:color="auto" w:fill="FFFFFF"/>
              </w:rPr>
              <w:br/>
              <w:t xml:space="preserve">Großer Boulevard 34</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(EUR 3.500,–)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Deckungsklage</w:t>
      </w:r>
    </w:p>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die klagende
Partei Rechtsanwalt Dr. Martin Klemm, LL.M. mit ihrer Vertretung
bevollmächtigt und beauftragt. Durch ihren ausgewiesenen Vertreter
erhebt die klagende Partei folgende</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Deckungsklage</w:t>
      </w:r>
    </w:p>
    <w:p>
      <w:pPr>
        <w:widowControl w:val="on"/>
        <w:pBdr/>
        <w:spacing w:before="140" w:after="240" w:line="288" w:lineRule="auto"/>
        <w:ind w:left="0" w:right="0"/>
        <w:jc w:val="left"/>
      </w:pPr>
      <w:r>
        <w:rPr>
          <w:rFonts w:ascii="Arial" w:hAnsi="Arial" w:eastAsia="Arial" w:cs="Arial"/>
          <w:color w:val="000000"/>
          <w:sz w:val="20"/>
          <w:szCs w:val="20"/>
        </w:rPr>
        <w:t xml:space="preserve">und führt diese aus wie folgt: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bei der beklagten Partei – unter anderem
– im Bereich „Arbeitsgerichts-Rechstschutz“ unter der
Rechtsschutzversicherungspolizze Nr … rechtsschutzversichert.
Dem Versicherungsvertrag liegen die ARB 2025 zugrunde. Gem deren
Art 21.1.1 besteht im Berufsbereich der Versicherungsnehmer
und seiner Angehörigen in ihrer Eigenschaft als „Arbeitnehmer“ iSd
§ 51 ASGG gegenüber ihrem Arbeitgeber Versicherungsschutz.</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stand ab 1. Juli 2021 bei der Spartgern GmbH
in einem Beschäftigungsverhältnis als Dienstnehmer. Obwohl
sämtliche Kriterien für ein echtes Dienstverhältnis vorlagen
(persönliche Arbeitsleistungspflicht, Gebundenheit an Arbeitszeit,
Arbeitsort und arbeitsbezogenes Verhalten, Weisungsunterworfenheit,
Eingliederung in die Unternehmensstruktur des Dienstgebers etc)
wurde die klagende Partei als Werkvertragsnehmer eingestuft und
dementsprechend über den gesamten Zeitraum des
Beschäftigungsverhältnisses auch (nur) als Werkvertragsnehmer
entlohnt. Am 29. Dezember 2023 wurde der Werkvertrag mit der
klagenden Partei zum 31. Dezember 2023 aufgekündigt und die
klagende Partei aus ihrem Büro entfernt.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nunmehr vor dem Arbeits- und
Sozialgericht eine Klage hinsichtlich kollektivvertraglicher
Mindestlohnansprüche, Urlaubsersatzleistung, Abfindungsansprüchen
und Kündigungsentschädigung eingebracht. In Summe macht die
klagende Partei einen Betrag in Höhe von EUR 7.936,50 sA
geltend. Das Verfahren wird zu GZ 26 Cga 4299/22i geführt.</w:t>
      </w:r>
    </w:p>
    <w:p>
      <w:pPr>
        <w:widowControl w:val="on"/>
        <w:pBdr/>
        <w:spacing w:before="140" w:after="240" w:line="288" w:lineRule="auto"/>
        <w:ind w:left="0" w:right="0"/>
        <w:jc w:val="left"/>
      </w:pPr>
      <w:r>
        <w:rPr>
          <w:rFonts w:ascii="Arial" w:hAnsi="Arial" w:eastAsia="Arial" w:cs="Arial"/>
          <w:color w:val="000000"/>
          <w:sz w:val="20"/>
          <w:szCs w:val="20"/>
        </w:rPr>
        <w:t xml:space="preserve">Vor Einbringung der Klage stellte der Kläger mit Schreiben vom
12. Jänner 2018 durch seinen rechtsfreundlichen Vertreter ein
Deckungsansuchen an die beklagte Partei. Gleichzeitig wurde der
Beklagten der Klagsentwurf sowie sämtliche bezughabenden Unterlagen
übermittelt.</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lehnte in der Folge mit Schreiben vom 18.
Jänner 2025 die Deckung mit der Begründung ab, dass die klagende
Partei laut dem zugrundeliegenden Werkvertrag mit der Spartgern
GmbH Werkvertragsnehmer und somit kein Arbeitnehmer iSd § 51
ASGG bzw Art 21.1.1 sei. Aus diesem Grund sei die vorliegende
Rechtsstreitigkeit auch nicht vom Versicherungsschutz umfasst.</w:t>
      </w:r>
    </w:p>
    <w:p>
      <w:pPr>
        <w:widowControl w:val="on"/>
        <w:pBdr/>
        <w:spacing w:before="140" w:after="240" w:line="288" w:lineRule="auto"/>
        <w:ind w:left="0" w:right="0"/>
        <w:jc w:val="left"/>
      </w:pPr>
      <w:r>
        <w:rPr>
          <w:rFonts w:ascii="Arial" w:hAnsi="Arial" w:eastAsia="Arial" w:cs="Arial"/>
          <w:color w:val="000000"/>
          <w:sz w:val="20"/>
          <w:szCs w:val="20"/>
        </w:rPr>
        <w:t xml:space="preserve">Der Kläger richtete, wieder durch seinen Rechtsvertreter, in der
Folge ein weiteres Schreiben an die Beklagte, in welchem dieser
klarstellte, dass er sehr wohl als Arbeitnehmer zu qualifizieren
sei. Die Behauptung, er sei bloßer Werkvertragsnehmer stamme
lediglich von seinem ehemaligen Arbeitgeber, um die Nichtzahlung
der dem Kläger zustehenden Ansprüche zu begründen. Unabhängig davon
wäre aber auch im Falle der Strittigkeit seiner
Arbeitnehmereigenschaft der Prozess jedenfalls zu decken. Die
beklagte Partei beantwortete dieses Schreiben erneut abschlägig und
gab an, auf ihrem Rechtsstandpunkt zu beharren.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 Korrespondenz</w:t>
            </w:r>
            <w:r>
              <w:rPr>
                <w:rFonts w:ascii="Arial" w:hAnsi="Arial" w:eastAsia="Arial" w:cs="Arial"/>
                <w:color w:val="000000"/>
                <w:position w:val="0"/>
                <w:sz w:val="20"/>
                <w:szCs w:val="20"/>
                <w:shd w:val="clear" w:color="auto" w:fill="FFFFFF"/>
              </w:rPr>
              <w:br/>
              <w:t xml:space="preserve">Akt des ASG Wien zu 26 Cga 4299/22i</w:t>
            </w:r>
            <w:r>
              <w:rPr>
                <w:rFonts w:ascii="Arial" w:hAnsi="Arial" w:eastAsia="Arial" w:cs="Arial"/>
                <w:color w:val="000000"/>
                <w:position w:val="0"/>
                <w:sz w:val="20"/>
                <w:szCs w:val="20"/>
                <w:shd w:val="clear" w:color="auto" w:fill="FFFFFF"/>
              </w:rPr>
              <w:br/>
              <w:t xml:space="preserve">PV</w:t>
            </w:r>
            <w:r>
              <w:rPr>
                <w:rFonts w:ascii="Arial" w:hAnsi="Arial" w:eastAsia="Arial" w:cs="Arial"/>
                <w:color w:val="000000"/>
                <w:position w:val="0"/>
                <w:sz w:val="20"/>
                <w:szCs w:val="20"/>
                <w:shd w:val="clear" w:color="auto" w:fill="FFFFFF"/>
              </w:rPr>
              <w:br/>
              <w:t xml:space="preserve">Weitere Beweise ausdrücklich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in ihrer Deckungsanfrage klar dargelegt,
dass sie die zu deckende Rechtewahrnehmung in der versicherten
Eigenschaft (nämlich als „Arbeitnehmer“ iSd § 51 ASGG)
betrifft. Auch wenn die Frage, ob der klagenden Partei im Prozess
gegen ihren ehemaligen Arbeitgeber die Rolle eines Arbeitnehmers
zukommt, strittig und prozessentscheidend ist, besteht für die
beklagte Partei als Rechtsschutzversicherer Deckungspflicht (vgl
</w:t>
      </w:r>
      <w:r>
        <w:rPr>
          <w:rFonts w:ascii="Arial" w:hAnsi="Arial" w:eastAsia="Arial" w:cs="Arial"/>
          <w:i/>
          <w:iCs/>
          <w:color w:val="000000"/>
          <w:sz w:val="20"/>
          <w:szCs w:val="20"/>
        </w:rPr>
        <w:t xml:space="preserve">Armbrüster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Prölss/Martin</w:t>
      </w:r>
      <w:r>
        <w:rPr>
          <w:rFonts w:ascii="Arial" w:hAnsi="Arial" w:eastAsia="Arial" w:cs="Arial"/>
          <w:color w:val="000000"/>
          <w:sz w:val="20"/>
          <w:szCs w:val="20"/>
        </w:rPr>
        <w:t xml:space="preserve">,
Versicherungsvertragsgesetz</w:t>
      </w:r>
      <w:r>
        <w:rPr>
          <w:rFonts w:ascii="Arial" w:hAnsi="Arial" w:eastAsia="Arial" w:cs="Arial"/>
          <w:color w:val="000000"/>
          <w:position w:val="3"/>
          <w:sz w:val="18"/>
          <w:szCs w:val="18"/>
          <w:vertAlign w:val="superscript"/>
        </w:rPr>
        <w:t xml:space="preserve">28</w:t>
      </w:r>
      <w:r>
        <w:rPr>
          <w:rFonts w:ascii="Arial" w:hAnsi="Arial" w:eastAsia="Arial" w:cs="Arial"/>
          <w:color w:val="000000"/>
          <w:sz w:val="20"/>
          <w:szCs w:val="20"/>
        </w:rPr>
        <w:t xml:space="preserve">, S 2393 f). Die
Deckungspflicht würde die beklagte Partei sogar treffen, wenn sich
letztlich herausstellen würde, dass dem Kläger die Eigenschaft als
Arbeitnehmer nicht zukommt, weshalb die beklagte Partei ihre
Deckungsprüfung auch nicht vom Prozessergebnis abhängig machen
dürfte (vgl </w:t>
      </w:r>
      <w:r>
        <w:rPr>
          <w:rFonts w:ascii="Arial" w:hAnsi="Arial" w:eastAsia="Arial" w:cs="Arial"/>
          <w:i/>
          <w:iCs/>
          <w:color w:val="000000"/>
          <w:sz w:val="20"/>
          <w:szCs w:val="20"/>
        </w:rPr>
        <w:t xml:space="preserve">Hartmann</w:t>
      </w:r>
      <w:r>
        <w:rPr>
          <w:rFonts w:ascii="Arial" w:hAnsi="Arial" w:eastAsia="Arial" w:cs="Arial"/>
          <w:color w:val="000000"/>
          <w:sz w:val="20"/>
          <w:szCs w:val="20"/>
        </w:rPr>
        <w:t xml:space="preserve">, Rechtsschutzversicherung,
S 536).</w:t>
      </w:r>
    </w:p>
    <w:p>
      <w:pPr>
        <w:widowControl w:val="on"/>
        <w:pBdr/>
        <w:spacing w:before="140" w:after="240" w:line="288" w:lineRule="auto"/>
        <w:ind w:left="0" w:right="0"/>
        <w:jc w:val="left"/>
      </w:pPr>
      <w:r>
        <w:rPr>
          <w:rFonts w:ascii="Arial" w:hAnsi="Arial" w:eastAsia="Arial" w:cs="Arial"/>
          <w:color w:val="000000"/>
          <w:sz w:val="20"/>
          <w:szCs w:val="20"/>
        </w:rPr>
        <w:t xml:space="preserve">Beantragt wird daher zu fällen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1942422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der klagenden Partei, in dem
zur GZ 26 Cga 4299/22i vor dem Arbeits- und Sozialgericht Wien
zwischen der klagenden Partei und der Spartgern GmbH wegen
EUR 7.936,50 sA anhängigen Rechtsstreit aufgrund des
aufrechten Versicherungsverhältnisses aus der
Rechtsschutzversicherungspolizze Nr … Deckung zu
gewähren.</w:t>
      </w:r>
    </w:p>
    <w:p>
      <w:pPr>
        <w:numPr>
          <w:ilvl w:val="0"/>
          <w:numId w:val="19424222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der klagenden Partei die
Kosten dieses Rechtsstreites gem § 19a RAO zuhanden des
Klagevertreters binnen 14 Tagen bei sonstiger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Michael Mitmirnicht</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TP 3A RATG</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Wie schon in den Vorbemerkungen erwähnt, dient die Deckungsklage
als ultima ratio um einen Deckungsanspruch gegenüber dem
Rechtsschutzversicherer durchzusetzen. Zunächst sollte jedoch
versucht werden, die Deckung gegenüber dem Versicherer
außergerichtlich zu erwirken. Oft können zunächst erfolgte
Ablehnungen durch entsprechende Erläuterung der Rechtslage und
Bereitstellung zusätzlicher Informationen (bis hin zum Androhen der
Deckungsklage) noch zu einer Zusage verhandelt werden. Hinzuweisen
ist in diesem Zusammenhang auf die allgemeine Verjährungsfrist von
drei Jahren (§ 12 Abs 1 VersVG) bzw auf die nur
einjährige Frist ab dem Zugang eines „qualifizierten“
Ablehnungsschreiben des Rechtsschutzversicherers, in welchem jedoch
auf die Konsequenz des Verstreichens dieser Frist hingewiesen
werden muss (§ 12 Abs 3 VersVG).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das</w:t>
            </w:r>
            <w:r>
              <w:rPr>
                <w:rFonts w:ascii="Arial" w:hAnsi="Arial" w:eastAsia="Arial" w:cs="Arial"/>
                <w:color w:val="000000"/>
                <w:position w:val="0"/>
                <w:sz w:val="20"/>
                <w:szCs w:val="20"/>
                <w:shd w:val="clear" w:color="auto" w:fill="FFFFFF"/>
              </w:rPr>
              <w:br/>
              <w:t xml:space="preserve">Bezirksgericht für Handelssachen Wien</w:t>
            </w:r>
            <w:r>
              <w:rPr>
                <w:rFonts w:ascii="Arial" w:hAnsi="Arial" w:eastAsia="Arial" w:cs="Arial"/>
                <w:color w:val="000000"/>
                <w:position w:val="0"/>
                <w:sz w:val="20"/>
                <w:szCs w:val="20"/>
                <w:shd w:val="clear" w:color="auto" w:fill="FFFFFF"/>
              </w:rPr>
              <w:br/>
              <w:t xml:space="preserve">Marxergasse 1a</w:t>
            </w:r>
            <w:r>
              <w:rPr>
                <w:rFonts w:ascii="Arial" w:hAnsi="Arial" w:eastAsia="Arial" w:cs="Arial"/>
                <w:color w:val="000000"/>
                <w:position w:val="0"/>
                <w:sz w:val="20"/>
                <w:szCs w:val="20"/>
                <w:shd w:val="clear" w:color="auto" w:fill="FFFFFF"/>
              </w:rPr>
              <w:br/>
              <w:t xml:space="preserve">1030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Fristsetzung nach § 12 Abs 3 VersVG birgt für den
Versicherungsnehmer die Gefahr des Verlustes erworbener Rechte aus
dem Versicherungsvertrag durch Versäumung der Klagefrist, weil der
Verlust des Versicherungsschutzes unabhängig davon eintritt, ob die
behauptete Leistungsfreiheit berechtigt ist oder nicht. An das
Schreiben des Versicherers, mit dem die Gewährung des
Versicherungsschutzes nach § 12 Abs 3 VersVG abgelehnt
wird, müssen daher besonders strenge Anforderungen gestellt werden.
Die Ablehnungserklärung muss demnach klar und unzweideutig sein und
– bei Bestehen mehrerer Versicherungen – erkennen lassen, welcher
Versicherungsanspruch abgelehnt wird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Der Versicherungsnehmer kann bei der Haftpflichtversicherung
auch vor rechtskräftiger Entscheidung über den Anspruch des Dritten
auf Feststellung klagen, dass der Versicherer verpflichtet ist, ihn
zu entschädigen, wenn dieser bestreitet, zur Gewährung des
Versicherungsschutzes verpflichtet zu sein (RIS-Justiz
RS0038928).</w:t>
      </w:r>
    </w:p>
    <w:p>
      <w:pPr>
        <w:widowControl w:val="on"/>
        <w:pBdr/>
        <w:spacing w:before="140" w:after="240" w:line="288" w:lineRule="auto"/>
        <w:ind w:left="0" w:right="0"/>
        <w:jc w:val="left"/>
      </w:pPr>
      <w:r>
        <w:rPr>
          <w:rFonts w:ascii="Arial" w:hAnsi="Arial" w:eastAsia="Arial" w:cs="Arial"/>
          <w:color w:val="000000"/>
          <w:sz w:val="20"/>
          <w:szCs w:val="20"/>
        </w:rPr>
        <w:t xml:space="preserve">In der Rechtsschutzversicherung kann der Versicherungsnehmer die
Leistung spätestens dann verlangen, wenn sich die Notwendigkeit
einer Interessenwahrnehmung für ihn so konkret abzeichnet, dass er
mit der Entstehung von Rechtskosten rechnen muss, deretwegen er den
Rechtsschutzversicherer in Anspruch nehmen will. Vom generellen
Anspruch auf Versicherungsschutz nach Eintritt eines
Versicherungsfalles zu unterscheiden sind die im Laufe der
Interessenwahrnehmung einzeln entstehenden Ansprüche des
Versicherungsnehmers auf Befreiung von einer Kostenschuld. Ist der
generelle Versicherungsschutz verjährt, kann der Versicherer auch
die Befreiung von Kostenverbindlichkeiten verweigern, die nach
Ablauf der Verjährungsfrist entstehen (RIS-Justiz RS0054251).</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Zuständigkeit richtet sich nach dem allgemeinen Gerichtsstand
des Rechtsschutzversicherers bzw allfälliger
Gerichtsstandvereinbarungen in den Vertragsbedingungen. Die
Zuständigkeit des zu deckenden Prozesses hat auf die Zuständigkeit
der Deckungsklage keinen Einfluss.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(EUR 3.500,–)</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Die Deckungsklage ist als Feststellungsklage im Hinblick auf die
erwarteten Prozesskosten bzw den zu erwartenden Deckungsumfang
angemessen zu bewerten.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Deckungsklage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Grundsätzlich handelt es sich bei einer Deckungsklage um eine
Feststellungsklage, mit welcher das Bestehen der
Rechtsschutzdeckung gerichtlich festgestellt werden soll.
Dementsprechend kann natürlich auch die Bezeichnung
„Feststellungsklage“ gewählt werden. Sofern jedoch bereits Kosten
angefallen sind, die aufgrund der Versicherungsdeckung durch den
Versicherer zu tragen wären, ist die Deckungsklage mit einer
Leistungsklage zu verbinden bzw – sollte der Prozess sogar bereits
abgeschlossen sein und die Kostenpflicht feststehen – gänzlich als
Leistungsklage zu führen.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ist bei der beklagten Partei – unter anderem
– im Bereich „Arbeitsgerichts-Rechtsschutz“
Rechtsschutzversicherungspolizze Nr … rechtsschutzversichert.
Dem Versicherungsvertrag liegen die ARB 2025 zugrunde. Gem deren
Artikel 21.1.1 besteht im Berufsbereich der Versicherungsnehmer und
seiner Angehörigen in ihrer Eigenschaft als „Arbeitnehmer“ iSd
§ 51 ASGG gegenüber ihrem Arbeitgeber Versicherungsschutz.</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Klagsaufforderung nach § 12 Abs 3
VersVG ist eine empfangsbedürftige Willenserklärung (RIS-Justiz
RS0080201).</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Eingangs sollte die bestehende Versicherung (inklusive
Polizzennummer) und das versicherte Risiko beschrieben werden.
Jedenfalls sollte auch ein Verweis auf die jeweils gültigen
Allgemeinen Bedingungen für die Rechtsschutzversicherung (ARB)
aufgeführt werden. Auch wenn es grundsätzlich keine
Genehmigungspflicht für Allgemeine Bedingungen von Versicherern
mehr gibt und jeder Rechtsschutzversicherer meist über eigene ARB
verfügt, ähneln sich diese zumeist stark.</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stand ab 1. Juli 2021 bei der Spartgern GmbH
in einem Beschäftigungsverhältnis als Dienstnehmer. Obwohl
sämtliche Kriterien für ein echtes Dienstverhältnis vorlagen
(persönliche Arbeitsleistungspflicht, Gebundenheit an Arbeitszeit,
Arbeitsort und arbeitsbezogenes Verhalten, Weisungsunterworfenheit,
Eingliederung in die Unternehmensstruktur des Dienstgebers etc)
wurde die klagende Partei als Werkvertragsnehmer eingestuft und
dementsprechend über den gesamten Zeitraum des
Beschäftigungsverhältnisses auch (nur) als Werkvertragsnehmer
entlohnt. Am 29. Dezember 2023 wurde der Werkvertrag mit der
klagenden Partei zum 31. Dezember 2023 aufgekündigt und die
klagende Partei aus ihrem Büro entfernt.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nunmehr vor dem Arbeits- und
Sozialgericht eine Klage hinsichtlich kollektivvertraglicher
Mindestlohnansprüche, Urlaubsersatzleistung, Abfindungsansprüchen
und Kündigungsentschädigung eingebracht. In Summe macht die
klagende Partei einen Betrag in Höhe von EUR 7.936,50 sA
geltend. Das Verfahren wird zu GZ 26 Cga 4299/22i geführt.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In der Folge ist der zu deckende Prozess darzulegen. Die
Deckungsklage kann, je nach Art der Streitigkeit zeitlich vor
Einleitung des Prozesses, während dieser noch läuft oder nach
dessen Abschluss erhoben werden. Wurde der Rechtsstreit noch nicht
eingeleitet, ist der entsprechend beabsichtigte Prozess näher zu
erläutern. Wie bereits unter Punkt 4 erläutert, hat der Status des
zu deckenden Prozesses auch auf die Deckungsklage Auswirkungen, als
diese eine reine Feststellungsklage, eine Kombination aus
Leistungs- und Feststellungsklage oder als reine Leistungsklage
sein kann.</w:t>
      </w:r>
    </w:p>
    <w:p>
      <w:pPr>
        <w:widowControl w:val="on"/>
        <w:pBdr/>
        <w:spacing w:before="140" w:after="240" w:line="288" w:lineRule="auto"/>
        <w:ind w:left="0" w:right="0"/>
        <w:jc w:val="left"/>
      </w:pPr>
      <w:r>
        <w:rPr>
          <w:rFonts w:ascii="Arial" w:hAnsi="Arial" w:eastAsia="Arial" w:cs="Arial"/>
          <w:color w:val="000000"/>
          <w:sz w:val="20"/>
          <w:szCs w:val="20"/>
        </w:rPr>
        <w:t xml:space="preserve">Ist das Verfahren bereits eingeleitet oder sogar abgeschlossen,
empfiehlt es sich in der Regel auch den entsprechenden Akt
beizuschaffen, da dieser zum Beweis für die Deckungspflicht, aber
auch insbesondere zur Höhe der angefallenen Kosten dienen kann.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lehnte in der Folge mit Schreiben vom 18.
Jänner 2025 die Deckung mit der Begründung ab, dass die klagende
Partei laut dem zugrundeliegenden Werkvertrag mit der Spartgern
GmbH Werkvertragsnehmer und somit kein Arbeitnehmer iSd § 51
ASGG bzw Art 21.1.1 sei. Aus diesem Grund sei die vorliegende
Rechtsstreitigkeit auch nicht vom Versicherungsschutz umfasst.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richtete, wieder durch seinen Rechtsvertreter, in der
Folge ein weiteres Schreiben an die Beklagte, in welchem dieser
klarstellte, dass er sehr wohl als Arbeitnehmer zu qualifizieren
sei. Die Behauptung, er sei bloßer Werkvertragsnehmer stamme
lediglich von seinem ehemaligen Arbeitgeber, um die Nichtzahlung
der dem Kläger zustehenden Ansprüche zu begründen. Unabhängig davon
wäre aber auch im Falle der Strittigkeit seiner
Arbeitnehmereigenschaft der Prozess jedenfalls zu decken. Die
beklagte Partei beantwortete dieses Schreiben erneut abschlägig und
gab an, auf ihrem Rechtsstandpunkt zu beharren.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Zum Beleg des Anlasses der Klagsführung bzw im Hinblick auf
allfällige Verjährungsthemen (siehe Punkt 1) können allenfalls noch
die Verhandlungen mit der Rechtsschutzversicherung geschildert
werden. Relevant ist letztlich nur die Tatsache, dass die
Versicherung die Deckung abgelehnt hat (oder allenfalls die
Deckungsanfrage nicht beantwortete). Weitergehende Verhandlungen
mit der Rechtsschutzversicherung sind zwar in der Regel, wie
bereits erwähnt, meist sinnvoll, aber keine Voraussetzung für das
Erheben der Deckungsklage.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in ihrer Deckungsanfrage klar dargelegt,
dass sie die zu deckende Rechtewahrnehmung in der versicherten
Eigenschaft (nämlich als „Arbeitnehmer“ iSd § 51 ASGG)
betrifft. Auch wenn die Frage, ob der klagenden Partei im Prozess
gegen ihren ehemaligen Arbeitgeber die Rolle eines Arbeitnehmers
zukommt, strittig und prozessentscheidend ist, besteht für die
beklagte Partei als Rechtsschutzversicherer Deckungspflicht (vgl
Armbrüster in </w:t>
            </w:r>
            <w:r>
              <w:rPr>
                <w:rFonts w:ascii="Arial" w:hAnsi="Arial" w:eastAsia="Arial" w:cs="Arial"/>
                <w:i/>
                <w:iCs/>
                <w:color w:val="000000"/>
                <w:position w:val="0"/>
                <w:sz w:val="20"/>
                <w:szCs w:val="20"/>
                <w:shd w:val="clear" w:color="auto" w:fill="FFFFFF"/>
              </w:rPr>
              <w:t xml:space="preserve">Prölss/Martin</w:t>
            </w:r>
            <w:r>
              <w:rPr>
                <w:rFonts w:ascii="Arial" w:hAnsi="Arial" w:eastAsia="Arial" w:cs="Arial"/>
                <w:color w:val="000000"/>
                <w:position w:val="0"/>
                <w:sz w:val="20"/>
                <w:szCs w:val="20"/>
                <w:shd w:val="clear" w:color="auto" w:fill="FFFFFF"/>
              </w:rPr>
              <w:t xml:space="preserve">,
Versicherungsvertragsgesetz</w:t>
            </w:r>
            <w:r>
              <w:rPr>
                <w:rFonts w:ascii="Arial" w:hAnsi="Arial" w:eastAsia="Arial" w:cs="Arial"/>
                <w:color w:val="000000"/>
                <w:position w:val="3"/>
                <w:sz w:val="18"/>
                <w:szCs w:val="18"/>
                <w:shd w:val="clear" w:color="auto" w:fill="FFFFFF"/>
                <w:vertAlign w:val="superscript"/>
              </w:rPr>
              <w:t xml:space="preserve">28</w:t>
            </w:r>
            <w:r>
              <w:rPr>
                <w:rFonts w:ascii="Arial" w:hAnsi="Arial" w:eastAsia="Arial" w:cs="Arial"/>
                <w:color w:val="000000"/>
                <w:position w:val="0"/>
                <w:sz w:val="20"/>
                <w:szCs w:val="20"/>
                <w:shd w:val="clear" w:color="auto" w:fill="FFFFFF"/>
              </w:rPr>
              <w:t xml:space="preserve">, S 239 f). Die
Deckungspflicht würde die beklagte Partei sogar treffen, wenn sich
letztlich herausstellen würde, dass dem Kläger die Eigenschaft als
Arbeitnehmer nicht zukommt, weshalb die beklagte Partei ihre
Deckungsprüfung auch nicht vom Prozessergebnis abhängig machen
dürfte (vgl </w:t>
            </w:r>
            <w:r>
              <w:rPr>
                <w:rFonts w:ascii="Arial" w:hAnsi="Arial" w:eastAsia="Arial" w:cs="Arial"/>
                <w:i/>
                <w:iCs/>
                <w:color w:val="000000"/>
                <w:position w:val="0"/>
                <w:sz w:val="20"/>
                <w:szCs w:val="20"/>
                <w:shd w:val="clear" w:color="auto" w:fill="FFFFFF"/>
              </w:rPr>
              <w:t xml:space="preserve">Hartmann</w:t>
            </w:r>
            <w:r>
              <w:rPr>
                <w:rFonts w:ascii="Arial" w:hAnsi="Arial" w:eastAsia="Arial" w:cs="Arial"/>
                <w:color w:val="000000"/>
                <w:position w:val="0"/>
                <w:sz w:val="20"/>
                <w:szCs w:val="20"/>
                <w:shd w:val="clear" w:color="auto" w:fill="FFFFFF"/>
              </w:rPr>
              <w:t xml:space="preserve">, Rechtsschutzversicherung,
S 536).</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Abschließend sollte rechtlich ausgeführt werden, warum nach Ansicht
der klagenden Partei der vorliegende Prozess einer Deckungspflicht
unterliegt. Sofern sich die Streitigkeiten auf Bestimmungen der ARB
bezieht, sollten die zugrundeliegenden Bestimmungen bereits
entsprechend erläutert werden. Hier lohnt sich auch ein Eingehen
auf die Begründung der Rechtsschutzversicherung für die Ablehnung
(sofern vorhanden).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Beantragt wird daher zu fällen nachstehendes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Urteil:</w:t>
            </w:r>
          </w:p>
        </w:tc>
      </w:tr>
      <w:tr>
        <w:trPr>
          <w:trHeight w:val="0" w:hRule="atLeast"/>
        </w:trPr>
        <w:tc>
          <w:tcPr>
            <w:tcW w:w="0" w:type="auto"/>
            <w:shd w:val="clear" w:color="auto" w:fill="FFFFFF"/>
            <w:tcMar>
              <w:top w:w="156" w:type="dxa"/>
              <w:left w:w="0" w:type="auto"/>
              <w:bottom w:w="78" w:type="dxa"/>
              <w:right w:w="0" w:type="auto"/>
            </w:tcMar>
            <w:vAlign w:val="top"/>
          </w:tcPr>
          <w:p>
            <w:pPr>
              <w:numPr>
                <w:ilvl w:val="0"/>
                <w:numId w:val="30369430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beklagte Partei ist schuldig, der klagenden Partei, in dem
zur GZ 26 Cga 4299/22i vor dem Arbeits- und Sozialgericht Wien
zwischen der klagenden Partei und der Spartgern GmbH wegen
EUR 7.936,50 sA anhängigen Rechtsstreit aufgrund des
aufrechten Versicherungsverhältnisses aus der
Rechtsschutzversicherungspolizze Nr … Deckung zu
gewähren.</w:t>
            </w:r>
          </w:p>
          <w:p>
            <w:pPr>
              <w:numPr>
                <w:ilvl w:val="0"/>
                <w:numId w:val="30369430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beklagte Partei ist schuldig, der klagenden Partei die
Kosten dieses Rechtsstreites gem § 19a RAO zuhanden des
Klagevertreters binnen 14 Tagen bei sonstiger Exekution zu
ersetzen.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Sofern die Deckungsklage (noch) eine Feststellungsklage ist, ist
mit dem beantragten Urteil auszusprechen, dass die
Rechtsschutzversicherung als beklagte Partei für den geführten
Prozess aufgrund des aufrechten Versicherungsverhältnisses Deckung
zu gewähren hat. Damit wird einerseits festgestellt, dass die
klagsgegenständliche Versicherung im Zeitpunkt des Schadensfalles
aufrecht ist und der vorliegende Prozess aufgrund eines
versicherten Ereignisses zu decken ist.</w:t>
      </w:r>
    </w:p>
    <w:p>
      <w:pPr>
        <w:widowControl w:val="on"/>
        <w:pBdr/>
        <w:spacing w:before="140" w:after="240" w:line="288" w:lineRule="auto"/>
        <w:ind w:left="0" w:right="0"/>
        <w:jc w:val="left"/>
      </w:pPr>
      <w:r>
        <w:rPr>
          <w:rFonts w:ascii="Arial" w:hAnsi="Arial" w:eastAsia="Arial" w:cs="Arial"/>
          <w:color w:val="000000"/>
          <w:sz w:val="20"/>
          <w:szCs w:val="20"/>
        </w:rPr>
        <w:t xml:space="preserve">Ist der Prozess noch nicht anhängig, muss das
Feststellungsbegehren entsprechend das beabsichtigte Verfahren
umschreiben („… die gegen die Spartgern GmbH zu erhebende Klage
wegen Beendigungsansprüchen aus dem Dienstverhältnis über einen
Betrag von EUR 7.936,50 sA sowie der in der Folge zu führende
Rechtsstreit …“). Ist der Rechtsstreit noch nicht exakt
spezifizierbar, ist auf das anspruchsbegründete Ereignis
abzustellen („… sämtlichen Rechtstreitigkeit aus dem Vorfall vom
…“). Das Urteil sollte von der Formulierung her die Qualität einer
Deckungszusage durch die Rechtsschutzversicherung aufweisen.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r>
              <w:rPr>
                <w:rFonts w:ascii="Arial" w:hAnsi="Arial" w:eastAsia="Arial" w:cs="Arial"/>
                <w:color w:val="000000"/>
                <w:position w:val="0"/>
                <w:sz w:val="20"/>
                <w:szCs w:val="20"/>
                <w:shd w:val="clear" w:color="auto" w:fill="FFFFFF"/>
              </w:rPr>
              <w:br/>
              <w:t xml:space="preserve">TP 3A RATG</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Für die Deckungsklage steht grundsätzlich eine Entlohnung gem
TP 3A RATG zu.</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Der Beginn der in § 12 Abs 1 VersVG normierten
Verjährungsfrist hängt von der in § 11 VersVG geregelten
Fälligkeit ab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 12 Abs 1 VersVG enthält eine die Verjährung von
Versicherungsansprüchen regelnde Sonderbestimmung. Entscheidend für
den Beginn des Laufes der Verjährungsfrist ist der Zeitpunkt, zu
dem die Fälligkeit der geforderten Vertragsleistung, die mit
Verjährung bekämpft wird, eingetreten ist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Die Fälligkeit des Geldleistungsanspruches des Versicherten
tritt jedenfalls ein, sobald der Versicherer die Leistung ablehnt.
Damit endet auch die im § 12 Abs 2 VersVG vorgesehene
Hemmung der Verjährung für die Zeit zwischen der Anmeldung des
Anspruches und der schriftlichen Entscheidung des Versicherers mit
der Anführung der der Ablehnung zugrunde gelegten Tatsachen und
gesetzlichen oder vertraglichen Bestimmungen (OGH 29.01.2025, 7 Ob
219/24t).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369430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942422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402159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9775780">
    <w:multiLevelType w:val="hybridMultilevel"/>
    <w:lvl w:ilvl="0" w:tplc="71667756">
      <w:start w:val="1"/>
      <w:numFmt w:val="decimal"/>
      <w:lvlText w:val="%1."/>
      <w:lvlJc w:val="left"/>
      <w:pPr>
        <w:ind w:left="720" w:hanging="360"/>
      </w:pPr>
    </w:lvl>
    <w:lvl w:ilvl="1" w:tplc="71667756" w:tentative="1">
      <w:start w:val="1"/>
      <w:numFmt w:val="lowerLetter"/>
      <w:lvlText w:val="%2."/>
      <w:lvlJc w:val="left"/>
      <w:pPr>
        <w:ind w:left="1440" w:hanging="360"/>
      </w:pPr>
    </w:lvl>
    <w:lvl w:ilvl="2" w:tplc="71667756" w:tentative="1">
      <w:start w:val="1"/>
      <w:numFmt w:val="lowerRoman"/>
      <w:lvlText w:val="%3."/>
      <w:lvlJc w:val="right"/>
      <w:pPr>
        <w:ind w:left="2160" w:hanging="180"/>
      </w:pPr>
    </w:lvl>
    <w:lvl w:ilvl="3" w:tplc="71667756" w:tentative="1">
      <w:start w:val="1"/>
      <w:numFmt w:val="decimal"/>
      <w:lvlText w:val="%4."/>
      <w:lvlJc w:val="left"/>
      <w:pPr>
        <w:ind w:left="2880" w:hanging="360"/>
      </w:pPr>
    </w:lvl>
    <w:lvl w:ilvl="4" w:tplc="71667756" w:tentative="1">
      <w:start w:val="1"/>
      <w:numFmt w:val="lowerLetter"/>
      <w:lvlText w:val="%5."/>
      <w:lvlJc w:val="left"/>
      <w:pPr>
        <w:ind w:left="3600" w:hanging="360"/>
      </w:pPr>
    </w:lvl>
    <w:lvl w:ilvl="5" w:tplc="71667756" w:tentative="1">
      <w:start w:val="1"/>
      <w:numFmt w:val="lowerRoman"/>
      <w:lvlText w:val="%6."/>
      <w:lvlJc w:val="right"/>
      <w:pPr>
        <w:ind w:left="4320" w:hanging="180"/>
      </w:pPr>
    </w:lvl>
    <w:lvl w:ilvl="6" w:tplc="71667756" w:tentative="1">
      <w:start w:val="1"/>
      <w:numFmt w:val="decimal"/>
      <w:lvlText w:val="%7."/>
      <w:lvlJc w:val="left"/>
      <w:pPr>
        <w:ind w:left="5040" w:hanging="360"/>
      </w:pPr>
    </w:lvl>
    <w:lvl w:ilvl="7" w:tplc="71667756" w:tentative="1">
      <w:start w:val="1"/>
      <w:numFmt w:val="lowerLetter"/>
      <w:lvlText w:val="%8."/>
      <w:lvlJc w:val="left"/>
      <w:pPr>
        <w:ind w:left="5760" w:hanging="360"/>
      </w:pPr>
    </w:lvl>
    <w:lvl w:ilvl="8" w:tplc="71667756" w:tentative="1">
      <w:start w:val="1"/>
      <w:numFmt w:val="lowerRoman"/>
      <w:lvlText w:val="%9."/>
      <w:lvlJc w:val="right"/>
      <w:pPr>
        <w:ind w:left="6480" w:hanging="180"/>
      </w:pPr>
    </w:lvl>
  </w:abstractNum>
  <w:abstractNum w:abstractNumId="29775779">
    <w:multiLevelType w:val="hybridMultilevel"/>
    <w:lvl w:ilvl="0" w:tplc="339770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775779">
    <w:abstractNumId w:val="29775779"/>
  </w:num>
  <w:num w:numId="29775780">
    <w:abstractNumId w:val="29775780"/>
  </w:num>
  <w:num w:numId="474021590">
    <w:abstractNumId w:val="474021590"/>
  </w:num>
  <w:num w:numId="194242220">
    <w:abstractNumId w:val="194242220"/>
  </w:num>
  <w:num w:numId="303694308">
    <w:abstractNumId w:val="3036943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62283663" Type="http://schemas.openxmlformats.org/officeDocument/2006/relationships/numbering" Target="numbering.xml"/><Relationship Id="rId49220004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