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8035758" w:name="document"/>
    <w:bookmarkEnd w:id="78035758"/>
    <w:p/>
    <w:p>
      <w:pPr>
        <w:widowControl w:val="on"/>
        <w:pBdr/>
        <w:spacing w:before="0" w:after="280" w:line="240" w:lineRule="auto"/>
        <w:ind w:left="0" w:right="0"/>
        <w:jc w:val="left"/>
      </w:pPr>
      <w:r>
        <w:rPr>
          <w:rFonts w:ascii="Arial" w:hAnsi="Arial" w:eastAsia="Arial" w:cs="Arial"/>
          <w:color w:val="363A40"/>
          <w:sz w:val="24"/>
          <w:szCs w:val="24"/>
        </w:rPr>
        <w:t xml:space="preserve">Dokument-ID: 866194 | Martin Klemm - Stanislava
Doganova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Deckungsklage gegen Rechtsschutzversicherung</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Das vorliegende Muster stellt eine Deckungsklage gegen die
Rechtsschutzversicherung dar, welche sich mit der Behauptung, dass
der zu deckende Prozess nicht in den Bereich der abgeschlossenen
Versicherung fällt, weigert, die Kostendeckung zu übernehmen.
Deckungsklagen sollten generell nur als ultima ratio gewählt
werden, sind aber – insbesondere bei eindeutigen Fällen – die
einzige Möglichkeit den Deckungsanspruch gegenüber dem
Rechtsschutzversicherer durchzusetzen.</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Rechtsanwalt Dr. Martin Klemm,
LL.M.</w:t>
      </w:r>
      <w:r>
        <w:rPr>
          <w:rFonts w:ascii="Arial" w:hAnsi="Arial" w:eastAsia="Arial" w:cs="Arial"/>
          <w:color w:val="000000"/>
          <w:sz w:val="20"/>
          <w:szCs w:val="20"/>
        </w:rPr>
        <w:br/>
        <w:t xml:space="preserve">Wiedner Hauptstraße 120/5.1</w:t>
      </w:r>
      <w:r>
        <w:rPr>
          <w:rFonts w:ascii="Arial" w:hAnsi="Arial" w:eastAsia="Arial" w:cs="Arial"/>
          <w:color w:val="000000"/>
          <w:sz w:val="20"/>
          <w:szCs w:val="20"/>
        </w:rPr>
        <w:br/>
        <w:t xml:space="preserve">1050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für Handelssachen Wien</w:t>
      </w:r>
      <w:r>
        <w:rPr>
          <w:rFonts w:ascii="Arial" w:hAnsi="Arial" w:eastAsia="Arial" w:cs="Arial"/>
          <w:color w:val="000000"/>
          <w:sz w:val="20"/>
          <w:szCs w:val="20"/>
        </w:rPr>
        <w:br/>
        <w:t xml:space="preserve">Marxergasse 1a</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02.02.2025</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Klagende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Michael Mitmirnicht</w:t>
            </w:r>
            <w:r>
              <w:rPr>
                <w:rFonts w:ascii="Arial" w:hAnsi="Arial" w:eastAsia="Arial" w:cs="Arial"/>
                <w:color w:val="000000"/>
                <w:position w:val="0"/>
                <w:sz w:val="20"/>
                <w:szCs w:val="20"/>
                <w:shd w:val="clear" w:color="auto" w:fill="FFFFFF"/>
              </w:rPr>
              <w:br/>
              <w:t xml:space="preserve">Große Straße 17/2/4</w:t>
            </w:r>
            <w:r>
              <w:rPr>
                <w:rFonts w:ascii="Arial" w:hAnsi="Arial" w:eastAsia="Arial" w:cs="Arial"/>
                <w:color w:val="000000"/>
                <w:position w:val="0"/>
                <w:sz w:val="20"/>
                <w:szCs w:val="20"/>
                <w:shd w:val="clear" w:color="auto" w:fill="FFFFFF"/>
              </w:rPr>
              <w:br/>
              <w:t xml:space="preserve">1170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Martin Klemm, LL.M.</w:t>
            </w:r>
            <w:r>
              <w:rPr>
                <w:rFonts w:ascii="Arial" w:hAnsi="Arial" w:eastAsia="Arial" w:cs="Arial"/>
                <w:color w:val="000000"/>
                <w:position w:val="0"/>
                <w:sz w:val="20"/>
                <w:szCs w:val="20"/>
                <w:shd w:val="clear" w:color="auto" w:fill="FFFFFF"/>
              </w:rPr>
              <w:br/>
              <w:t xml:space="preserve">Wiedner Hauptstraße 120/5.1</w:t>
            </w:r>
            <w:r>
              <w:rPr>
                <w:rFonts w:ascii="Arial" w:hAnsi="Arial" w:eastAsia="Arial" w:cs="Arial"/>
                <w:color w:val="000000"/>
                <w:position w:val="0"/>
                <w:sz w:val="20"/>
                <w:szCs w:val="20"/>
                <w:shd w:val="clear" w:color="auto" w:fill="FFFFFF"/>
              </w:rPr>
              <w:br/>
              <w:t xml:space="preserve">1050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AVR Code: 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 Partei:</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Links-Rechts Versicherung AG</w:t>
            </w:r>
            <w:r>
              <w:rPr>
                <w:rFonts w:ascii="Arial" w:hAnsi="Arial" w:eastAsia="Arial" w:cs="Arial"/>
                <w:color w:val="000000"/>
                <w:position w:val="0"/>
                <w:sz w:val="20"/>
                <w:szCs w:val="20"/>
                <w:shd w:val="clear" w:color="auto" w:fill="FFFFFF"/>
              </w:rPr>
              <w:br/>
              <w:t xml:space="preserve">Großer Boulevard 34</w:t>
            </w:r>
            <w:r>
              <w:rPr>
                <w:rFonts w:ascii="Arial" w:hAnsi="Arial" w:eastAsia="Arial" w:cs="Arial"/>
                <w:color w:val="000000"/>
                <w:position w:val="0"/>
                <w:sz w:val="20"/>
                <w:szCs w:val="20"/>
                <w:shd w:val="clear" w:color="auto" w:fill="FFFFFF"/>
              </w:rPr>
              <w:br/>
              <w:t xml:space="preserve">1190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Feststellung (EUR 3.500,–)</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Deckungsklage</w:t>
      </w:r>
    </w:p>
    <w:p>
      <w:pPr>
        <w:widowControl w:val="on"/>
        <w:pBdr/>
        <w:spacing w:before="140" w:after="240" w:line="288" w:lineRule="auto"/>
        <w:ind w:left="0" w:right="0"/>
        <w:jc w:val="right"/>
      </w:pPr>
      <w:r>
        <w:rPr>
          <w:rFonts w:ascii="Arial" w:hAnsi="Arial" w:eastAsia="Arial" w:cs="Arial"/>
          <w:color w:val="000000"/>
          <w:sz w:val="20"/>
          <w:szCs w:val="20"/>
        </w:rPr>
        <w:t xml:space="preserve">1-fach</w:t>
      </w:r>
    </w:p>
    <w:p>
      <w:pPr>
        <w:widowControl w:val="on"/>
        <w:pBdr/>
        <w:spacing w:before="140" w:after="240" w:line="288" w:lineRule="auto"/>
        <w:ind w:left="0" w:right="0"/>
        <w:jc w:val="left"/>
      </w:pPr>
      <w:r>
        <w:rPr>
          <w:rFonts w:ascii="Arial" w:hAnsi="Arial" w:eastAsia="Arial" w:cs="Arial"/>
          <w:color w:val="000000"/>
          <w:sz w:val="20"/>
          <w:szCs w:val="20"/>
        </w:rPr>
        <w:t xml:space="preserve">In umseits näher bezeichneter Rechtssache hat die klagende
Partei Rechtsanwalt Dr. Martin Klemm, LL.M. mit ihrer Vertretung
bevollmächtigt und beauftragt. Durch ihren ausgewiesenen Vertreter
erhebt die klagende Partei folgende</w:t>
      </w:r>
    </w:p>
    <w:p>
      <w:pPr>
        <w:pageBreakBefore w:val="on"/>
      </w:pPr>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Deckungsklage</w:t>
      </w:r>
    </w:p>
    <w:p>
      <w:pPr>
        <w:widowControl w:val="on"/>
        <w:pBdr/>
        <w:spacing w:before="140" w:after="240" w:line="288" w:lineRule="auto"/>
        <w:ind w:left="0" w:right="0"/>
        <w:jc w:val="left"/>
      </w:pPr>
      <w:r>
        <w:rPr>
          <w:rFonts w:ascii="Arial" w:hAnsi="Arial" w:eastAsia="Arial" w:cs="Arial"/>
          <w:color w:val="000000"/>
          <w:sz w:val="20"/>
          <w:szCs w:val="20"/>
        </w:rPr>
        <w:t xml:space="preserve">und führt diese aus wie folgt:</w:t>
      </w:r>
    </w:p>
    <w:p>
      <w:pPr>
        <w:widowControl w:val="on"/>
        <w:pBdr/>
        <w:spacing w:before="140" w:after="240" w:line="288" w:lineRule="auto"/>
        <w:ind w:left="0" w:right="0"/>
        <w:jc w:val="left"/>
      </w:pPr>
      <w:r>
        <w:rPr>
          <w:rFonts w:ascii="Arial" w:hAnsi="Arial" w:eastAsia="Arial" w:cs="Arial"/>
          <w:color w:val="000000"/>
          <w:sz w:val="20"/>
          <w:szCs w:val="20"/>
        </w:rPr>
        <w:t xml:space="preserve">Die klagende Partei ist bei der beklagten Partei – unter anderem
– im Bereich „Arbeitsgerichts-Rechstschutz“ unter der
Rechtsschutzversicherungspolizze Nr … rechtsschutzversichert.
Dem Versicherungsvertrag liegen die ARB 2025 zugrunde. Gem deren
Art 21.1.1 besteht im Berufsbereich der Versicherungsnehmer
und seiner Angehörigen in ihrer Eigenschaft als „Arbeitnehmer“ iSd
§ 51 ASGG gegenüber ihrem Arbeitgeber Versicherungsschutz.</w:t>
      </w:r>
    </w:p>
    <w:p>
      <w:pPr>
        <w:widowControl w:val="on"/>
        <w:pBdr/>
        <w:spacing w:before="140" w:after="240" w:line="288" w:lineRule="auto"/>
        <w:ind w:left="0" w:right="0"/>
        <w:jc w:val="left"/>
      </w:pPr>
      <w:r>
        <w:rPr>
          <w:rFonts w:ascii="Arial" w:hAnsi="Arial" w:eastAsia="Arial" w:cs="Arial"/>
          <w:color w:val="000000"/>
          <w:sz w:val="20"/>
          <w:szCs w:val="20"/>
        </w:rPr>
        <w:t xml:space="preserve">Die klagende Partei stand ab 1. Juli 2021 bei der Spartgern GmbH
in einem Beschäftigungsverhältnis als Dienstnehmer. Obwohl
sämtliche Kriterien für ein echtes Dienstverhältnis vorlagen
(persönliche Arbeitsleistungspflicht, Gebundenheit an Arbeitszeit,
Arbeitsort und arbeitsbezogenes Verhalten, Weisungsunterworfenheit,
Eingliederung in die Unternehmensstruktur des Dienstgebers etc)
wurde die klagende Partei als Werkvertragsnehmer eingestuft und
dementsprechend über den gesamten Zeitraum des
Beschäftigungsverhältnisses auch (nur) als Werkvertragsnehmer
entlohnt. Am 29. Dezember 2023 wurde der Werkvertrag mit der
klagenden Partei zum 31. Dezember 2023 aufgekündigt und die
klagende Partei aus ihrem Büro entfernt.</w:t>
      </w:r>
    </w:p>
    <w:p>
      <w:pPr>
        <w:widowControl w:val="on"/>
        <w:pBdr/>
        <w:spacing w:before="140" w:after="240" w:line="288" w:lineRule="auto"/>
        <w:ind w:left="0" w:right="0"/>
        <w:jc w:val="left"/>
      </w:pPr>
      <w:r>
        <w:rPr>
          <w:rFonts w:ascii="Arial" w:hAnsi="Arial" w:eastAsia="Arial" w:cs="Arial"/>
          <w:color w:val="000000"/>
          <w:sz w:val="20"/>
          <w:szCs w:val="20"/>
        </w:rPr>
        <w:t xml:space="preserve">Die klagende Partei hat nunmehr vor dem Arbeits- und
Sozialgericht eine Klage hinsichtlich kollektivvertraglicher
Mindestlohnansprüche, Urlaubsersatzleistung, Abfindungsansprüchen
und Kündigungsentschädigung eingebracht. In Summe macht die
klagende Partei einen Betrag in Höhe von EUR 7.936,50 sA
geltend. Das Verfahren wird zu GZ 26 Cga 4299/22i geführt.</w:t>
      </w:r>
    </w:p>
    <w:p>
      <w:pPr>
        <w:widowControl w:val="on"/>
        <w:pBdr/>
        <w:spacing w:before="140" w:after="240" w:line="288" w:lineRule="auto"/>
        <w:ind w:left="0" w:right="0"/>
        <w:jc w:val="left"/>
      </w:pPr>
      <w:r>
        <w:rPr>
          <w:rFonts w:ascii="Arial" w:hAnsi="Arial" w:eastAsia="Arial" w:cs="Arial"/>
          <w:color w:val="000000"/>
          <w:sz w:val="20"/>
          <w:szCs w:val="20"/>
        </w:rPr>
        <w:t xml:space="preserve">Vor Einbringung der Klage stellte der Kläger mit Schreiben vom
12. Jänner 2018 durch seinen rechtsfreundlichen Vertreter ein
Deckungsansuchen an die beklagte Partei. Gleichzeitig wurde der
Beklagten der Klagsentwurf sowie sämtliche bezughabenden Unterlagen
übermittelt.</w:t>
      </w:r>
    </w:p>
    <w:p>
      <w:pPr>
        <w:widowControl w:val="on"/>
        <w:pBdr/>
        <w:spacing w:before="140" w:after="240" w:line="288" w:lineRule="auto"/>
        <w:ind w:left="0" w:right="0"/>
        <w:jc w:val="left"/>
      </w:pPr>
      <w:r>
        <w:rPr>
          <w:rFonts w:ascii="Arial" w:hAnsi="Arial" w:eastAsia="Arial" w:cs="Arial"/>
          <w:color w:val="000000"/>
          <w:sz w:val="20"/>
          <w:szCs w:val="20"/>
        </w:rPr>
        <w:t xml:space="preserve">Die beklagte Partei lehnte in der Folge mit Schreiben vom 18.
Jänner 2025 die Deckung mit der Begründung ab, dass die klagende
Partei laut dem zugrundeliegenden Werkvertrag mit der Spartgern
GmbH Werkvertragsnehmer und somit kein Arbeitnehmer iSd § 51
ASGG bzw Art 21.1.1 sei. Aus diesem Grund sei die vorliegende
Rechtsstreitigkeit auch nicht vom Versicherungsschutz umfasst.</w:t>
      </w:r>
    </w:p>
    <w:p>
      <w:pPr>
        <w:widowControl w:val="on"/>
        <w:pBdr/>
        <w:spacing w:before="140" w:after="240" w:line="288" w:lineRule="auto"/>
        <w:ind w:left="0" w:right="0"/>
        <w:jc w:val="left"/>
      </w:pPr>
      <w:r>
        <w:rPr>
          <w:rFonts w:ascii="Arial" w:hAnsi="Arial" w:eastAsia="Arial" w:cs="Arial"/>
          <w:color w:val="000000"/>
          <w:sz w:val="20"/>
          <w:szCs w:val="20"/>
        </w:rPr>
        <w:t xml:space="preserve">Der Kläger richtete, wieder durch seinen Rechtsvertreter, in der
Folge ein weiteres Schreiben an die Beklagte, in welchem dieser
klarstellte, dass er sehr wohl als Arbeitnehmer zu qualifizieren
sei. Die Behauptung, er sei bloßer Werkvertragsnehmer stamme
lediglich von seinem ehemaligen Arbeitgeber, um die Nichtzahlung
der dem Kläger zustehenden Ansprüche zu begründen. Unabhängig davon
wäre aber auch im Falle der Strittigkeit seiner
Arbeitnehmereigenschaft der Prozess jedenfalls zu decken. Die
beklagte Partei beantwortete dieses Schreiben erneut abschlägig und
gab an, auf ihrem Rechtsstandpunkt zu beharren.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Vorzulegende Korrespondenz</w:t>
            </w:r>
            <w:r>
              <w:rPr>
                <w:rFonts w:ascii="Arial" w:hAnsi="Arial" w:eastAsia="Arial" w:cs="Arial"/>
                <w:color w:val="000000"/>
                <w:position w:val="0"/>
                <w:sz w:val="20"/>
                <w:szCs w:val="20"/>
                <w:shd w:val="clear" w:color="auto" w:fill="FFFFFF"/>
              </w:rPr>
              <w:br/>
              <w:t xml:space="preserve">Akt des ASG Wien zu 26 Cga 4299/22i</w:t>
            </w:r>
            <w:r>
              <w:rPr>
                <w:rFonts w:ascii="Arial" w:hAnsi="Arial" w:eastAsia="Arial" w:cs="Arial"/>
                <w:color w:val="000000"/>
                <w:position w:val="0"/>
                <w:sz w:val="20"/>
                <w:szCs w:val="20"/>
                <w:shd w:val="clear" w:color="auto" w:fill="FFFFFF"/>
              </w:rPr>
              <w:br/>
              <w:t xml:space="preserve">PV</w:t>
            </w:r>
            <w:r>
              <w:rPr>
                <w:rFonts w:ascii="Arial" w:hAnsi="Arial" w:eastAsia="Arial" w:cs="Arial"/>
                <w:color w:val="000000"/>
                <w:position w:val="0"/>
                <w:sz w:val="20"/>
                <w:szCs w:val="20"/>
                <w:shd w:val="clear" w:color="auto" w:fill="FFFFFF"/>
              </w:rPr>
              <w:br/>
              <w:t xml:space="preserve">Weitere Beweise ausdrücklich vorbehalten</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klagende Partei hat in ihrer Deckungsanfrage klar dargelegt,
dass sie die zu deckende Rechtewahrnehmung in der versicherten
Eigenschaft (nämlich als „Arbeitnehmer“ iSd § 51 ASGG)
betrifft. Auch wenn die Frage, ob der klagenden Partei im Prozess
gegen ihren ehemaligen Arbeitgeber die Rolle eines Arbeitnehmers
zukommt, strittig und prozessentscheidend ist, besteht für die
beklagte Partei als Rechtsschutzversicherer Deckungspflicht (vgl
</w:t>
      </w:r>
      <w:r>
        <w:rPr>
          <w:rFonts w:ascii="Arial" w:hAnsi="Arial" w:eastAsia="Arial" w:cs="Arial"/>
          <w:i/>
          <w:iCs/>
          <w:color w:val="000000"/>
          <w:sz w:val="20"/>
          <w:szCs w:val="20"/>
        </w:rPr>
        <w:t xml:space="preserve">Armbrüster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Prölss/Martin</w:t>
      </w:r>
      <w:r>
        <w:rPr>
          <w:rFonts w:ascii="Arial" w:hAnsi="Arial" w:eastAsia="Arial" w:cs="Arial"/>
          <w:color w:val="000000"/>
          <w:sz w:val="20"/>
          <w:szCs w:val="20"/>
        </w:rPr>
        <w:t xml:space="preserve">,
Versicherungsvertragsgesetz</w:t>
      </w:r>
      <w:r>
        <w:rPr>
          <w:rFonts w:ascii="Arial" w:hAnsi="Arial" w:eastAsia="Arial" w:cs="Arial"/>
          <w:color w:val="000000"/>
          <w:position w:val="3"/>
          <w:sz w:val="18"/>
          <w:szCs w:val="18"/>
          <w:vertAlign w:val="superscript"/>
        </w:rPr>
        <w:t xml:space="preserve">28</w:t>
      </w:r>
      <w:r>
        <w:rPr>
          <w:rFonts w:ascii="Arial" w:hAnsi="Arial" w:eastAsia="Arial" w:cs="Arial"/>
          <w:color w:val="000000"/>
          <w:sz w:val="20"/>
          <w:szCs w:val="20"/>
        </w:rPr>
        <w:t xml:space="preserve">, S 2393 f). Die
Deckungspflicht würde die beklagte Partei sogar treffen, wenn sich
letztlich herausstellen würde, dass dem Kläger die Eigenschaft als
Arbeitnehmer nicht zukommt, weshalb die beklagte Partei ihre
Deckungsprüfung auch nicht vom Prozessergebnis abhängig machen
dürfte (vgl </w:t>
      </w:r>
      <w:r>
        <w:rPr>
          <w:rFonts w:ascii="Arial" w:hAnsi="Arial" w:eastAsia="Arial" w:cs="Arial"/>
          <w:i/>
          <w:iCs/>
          <w:color w:val="000000"/>
          <w:sz w:val="20"/>
          <w:szCs w:val="20"/>
        </w:rPr>
        <w:t xml:space="preserve">Hartmann</w:t>
      </w:r>
      <w:r>
        <w:rPr>
          <w:rFonts w:ascii="Arial" w:hAnsi="Arial" w:eastAsia="Arial" w:cs="Arial"/>
          <w:color w:val="000000"/>
          <w:sz w:val="20"/>
          <w:szCs w:val="20"/>
        </w:rPr>
        <w:t xml:space="preserve">, Rechtsschutzversicherung,
S 536).</w:t>
      </w:r>
    </w:p>
    <w:p>
      <w:pPr>
        <w:widowControl w:val="on"/>
        <w:pBdr/>
        <w:spacing w:before="140" w:after="240" w:line="288" w:lineRule="auto"/>
        <w:ind w:left="0" w:right="0"/>
        <w:jc w:val="left"/>
      </w:pPr>
      <w:r>
        <w:rPr>
          <w:rFonts w:ascii="Arial" w:hAnsi="Arial" w:eastAsia="Arial" w:cs="Arial"/>
          <w:color w:val="000000"/>
          <w:sz w:val="20"/>
          <w:szCs w:val="20"/>
        </w:rPr>
        <w:t xml:space="preserve">Beantragt wird daher zu fällen nachstehendes</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numPr>
          <w:ilvl w:val="0"/>
          <w:numId w:val="60801453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beklagte Partei ist schuldig, der klagenden Partei, in dem
zur GZ 26 Cga 4299/22i vor dem Arbeits- und Sozialgericht Wien
zwischen der klagenden Partei und der Spartgern GmbH wegen
EUR 7.936,50 sA anhängigen Rechtsstreit aufgrund des
aufrechten Versicherungsverhältnisses aus der
Rechtsschutzversicherungspolizze Nr … Deckung zu
gewähren.</w:t>
      </w:r>
    </w:p>
    <w:p>
      <w:pPr>
        <w:numPr>
          <w:ilvl w:val="0"/>
          <w:numId w:val="60801453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beklagte Partei ist schuldig, der klagenden Partei die
Kosten dieses Rechtsstreites gem § 19a RAO zuhanden des
Klagevertreters binnen 14 Tagen bei sonstiger Exekution zu
ersetzen.</w:t>
      </w:r>
    </w:p>
    <w:p>
      <w:pPr>
        <w:widowControl w:val="on"/>
        <w:pBdr/>
        <w:spacing w:before="140" w:after="240" w:line="288" w:lineRule="auto"/>
        <w:ind w:left="0" w:right="0"/>
        <w:jc w:val="left"/>
      </w:pPr>
      <w:r>
        <w:rPr>
          <w:rFonts w:ascii="Arial" w:hAnsi="Arial" w:eastAsia="Arial" w:cs="Arial"/>
          <w:color w:val="000000"/>
          <w:sz w:val="20"/>
          <w:szCs w:val="20"/>
        </w:rPr>
        <w:t xml:space="preserve">Wien,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Michael Mitmirnicht</w:t>
      </w:r>
    </w:p>
    <w:p>
      <w:pPr>
        <w:widowControl w:val="on"/>
        <w:pBdr/>
        <w:spacing w:before="140" w:after="240" w:line="288" w:lineRule="auto"/>
        <w:ind w:left="0" w:right="0"/>
        <w:jc w:val="left"/>
      </w:pPr>
      <w:r>
        <w:rPr>
          <w:rFonts w:ascii="Arial" w:hAnsi="Arial" w:eastAsia="Arial" w:cs="Arial"/>
          <w:b/>
          <w:bCs/>
          <w:color w:val="000000"/>
          <w:sz w:val="20"/>
          <w:szCs w:val="20"/>
        </w:rPr>
        <w:t xml:space="preserve">Kostenverzeichnis:</w:t>
      </w:r>
      <w:r>
        <w:rPr>
          <w:rFonts w:ascii="Arial" w:hAnsi="Arial" w:eastAsia="Arial" w:cs="Arial"/>
          <w:color w:val="000000"/>
          <w:sz w:val="20"/>
          <w:szCs w:val="20"/>
        </w:rPr>
        <w:br/>
        <w:t xml:space="preserve">TP 3A RATG</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Wie schon in den Vorbemerkungen erwähnt, dient die Deckungsklage
als ultima ratio um einen Deckungsanspruch gegenüber dem
Rechtsschutzversicherer durchzusetzen. Zunächst sollte jedoch
versucht werden, die Deckung gegenüber dem Versicherer
außergerichtlich zu erwirken. Oft können zunächst erfolgte
Ablehnungen durch entsprechende Erläuterung der Rechtslage und
Bereitstellung zusätzlicher Informationen (bis hin zum Androhen der
Deckungsklage) noch zu einer Zusage verhandelt werden. Hinzuweisen
ist in diesem Zusammenhang auf die allgemeine Verjährungsfrist von
drei Jahren (§ 12 Abs 1 VersVG) bzw auf die nur
einjährige Frist ab dem Zugang eines „qualifizierten“
Ablehnungsschreiben des Rechtsschutzversicherers, in welchem jedoch
auf die Konsequenz des Verstreichens dieser Frist hingewiesen
werden muss (§ 12 Abs 3 VersVG).</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 das</w:t>
            </w:r>
            <w:r>
              <w:rPr>
                <w:rFonts w:ascii="Arial" w:hAnsi="Arial" w:eastAsia="Arial" w:cs="Arial"/>
                <w:color w:val="000000"/>
                <w:position w:val="0"/>
                <w:sz w:val="20"/>
                <w:szCs w:val="20"/>
                <w:shd w:val="clear" w:color="auto" w:fill="FFFFFF"/>
              </w:rPr>
              <w:br/>
              <w:t xml:space="preserve">Bezirksgericht für Handelssachen Wien</w:t>
            </w:r>
            <w:r>
              <w:rPr>
                <w:rFonts w:ascii="Arial" w:hAnsi="Arial" w:eastAsia="Arial" w:cs="Arial"/>
                <w:color w:val="000000"/>
                <w:position w:val="0"/>
                <w:sz w:val="20"/>
                <w:szCs w:val="20"/>
                <w:shd w:val="clear" w:color="auto" w:fill="FFFFFF"/>
              </w:rPr>
              <w:br/>
              <w:t xml:space="preserve">Marxergasse 1a</w:t>
            </w:r>
            <w:r>
              <w:rPr>
                <w:rFonts w:ascii="Arial" w:hAnsi="Arial" w:eastAsia="Arial" w:cs="Arial"/>
                <w:color w:val="000000"/>
                <w:position w:val="0"/>
                <w:sz w:val="20"/>
                <w:szCs w:val="20"/>
                <w:shd w:val="clear" w:color="auto" w:fill="FFFFFF"/>
              </w:rPr>
              <w:br/>
              <w:t xml:space="preserve">1030 Wien</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Fristsetzung nach § 12 Abs 3 VersVG birgt für den
Versicherungsnehmer die Gefahr des Verlustes erworbener Rechte aus
dem Versicherungsvertrag durch Versäumung der Klagefrist, weil der
Verlust des Versicherungsschutzes unabhängig davon eintritt, ob die
behauptete Leistungsfreiheit berechtigt ist oder nicht. An das
Schreiben des Versicherers, mit dem die Gewährung des
Versicherungsschutzes nach § 12 Abs 3 VersVG abgelehnt
wird, müssen daher besonders strenge Anforderungen gestellt werden.
Die Ablehnungserklärung muss demnach klar und unzweideutig sein und
– bei Bestehen mehrerer Versicherungen – erkennen lassen, welcher
Versicherungsanspruch abgelehnt wird (OGH 29.01.2025, 7 Ob
219/24t).</w:t>
      </w:r>
    </w:p>
    <w:p>
      <w:pPr>
        <w:widowControl w:val="on"/>
        <w:pBdr/>
        <w:spacing w:before="140" w:after="240" w:line="288" w:lineRule="auto"/>
        <w:ind w:left="0" w:right="0"/>
        <w:jc w:val="left"/>
      </w:pPr>
      <w:r>
        <w:rPr>
          <w:rFonts w:ascii="Arial" w:hAnsi="Arial" w:eastAsia="Arial" w:cs="Arial"/>
          <w:color w:val="000000"/>
          <w:sz w:val="20"/>
          <w:szCs w:val="20"/>
        </w:rPr>
        <w:t xml:space="preserve">Der Versicherungsnehmer kann bei der Haftpflichtversicherung
auch vor rechtskräftiger Entscheidung über den Anspruch des Dritten
auf Feststellung klagen, dass der Versicherer verpflichtet ist, ihn
zu entschädigen, wenn dieser bestreitet, zur Gewährung des
Versicherungsschutzes verpflichtet zu sein (RIS-Justiz
RS0038928).</w:t>
      </w:r>
    </w:p>
    <w:p>
      <w:pPr>
        <w:widowControl w:val="on"/>
        <w:pBdr/>
        <w:spacing w:before="140" w:after="240" w:line="288" w:lineRule="auto"/>
        <w:ind w:left="0" w:right="0"/>
        <w:jc w:val="left"/>
      </w:pPr>
      <w:r>
        <w:rPr>
          <w:rFonts w:ascii="Arial" w:hAnsi="Arial" w:eastAsia="Arial" w:cs="Arial"/>
          <w:color w:val="000000"/>
          <w:sz w:val="20"/>
          <w:szCs w:val="20"/>
        </w:rPr>
        <w:t xml:space="preserve">In der Rechtsschutzversicherung kann der Versicherungsnehmer die
Leistung spätestens dann verlangen, wenn sich die Notwendigkeit
einer Interessenwahrnehmung für ihn so konkret abzeichnet, dass er
mit der Entstehung von Rechtskosten rechnen muss, deretwegen er den
Rechtsschutzversicherer in Anspruch nehmen will. Vom generellen
Anspruch auf Versicherungsschutz nach Eintritt eines
Versicherungsfalles zu unterscheiden sind die im Laufe der
Interessenwahrnehmung einzeln entstehenden Ansprüche des
Versicherungsnehmers auf Befreiung von einer Kostenschuld. Ist der
generelle Versicherungsschutz verjährt, kann der Versicherer auch
die Befreiung von Kostenverbindlichkeiten verweigern, die nach
Ablauf der Verjährungsfrist entstehen (RIS-Justiz RS0054251).</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Die Zuständigkeit richtet sich nach dem allgemeinen Gerichtsstand
des Rechtsschutzversicherers bzw allfälliger
Gerichtsstandvereinbarungen in den Vertragsbedingungen. Die
Zuständigkeit des zu deckenden Prozesses hat auf die Zuständigkeit
der Deckungsklage keinen Einfluss.</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Feststellung (EUR 3.500,–)</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Die Deckungsklage ist als Feststellungsklage im Hinblick auf die
erwarteten Prozesskosten bzw den zu erwartenden Deckungsumfang
angemessen zu bewerten.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b/>
                <w:bCs/>
                <w:color w:val="000000"/>
                <w:position w:val="0"/>
                <w:sz w:val="20"/>
                <w:szCs w:val="20"/>
                <w:shd w:val="clear" w:color="auto" w:fill="FFFFFF"/>
              </w:rPr>
              <w:t xml:space="preserve">Deckungsklage</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Grundsätzlich handelt es sich bei einer Deckungsklage um eine
Feststellungsklage, mit welcher das Bestehen der
Rechtsschutzdeckung gerichtlich festgestellt werden soll.
Dementsprechend kann natürlich auch die Bezeichnung
„Feststellungsklage“ gewählt werden. Sofern jedoch bereits Kosten
angefallen sind, die aufgrund der Versicherungsdeckung durch den
Versicherer zu tragen wären, ist die Deckungsklage mit einer
Leistungsklage zu verbinden bzw – sollte der Prozess sogar bereits
abgeschlossen sein und die Kostenpflicht feststehen – gänzlich als
Leistungsklage zu führen.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klagende Partei ist bei der beklagten Partei – unter anderem
– im Bereich „Arbeitsgerichts-Rechtsschutz“
Rechtsschutzversicherungspolizze Nr … rechtsschutzversichert.
Dem Versicherungsvertrag liegen die ARB 2025 zugrunde. Gem deren
Artikel 21.1.1 besteht im Berufsbereich der Versicherungsnehmer und
seiner Angehörigen in ihrer Eigenschaft als „Arbeitnehmer“ iSd
§ 51 ASGG gegenüber ihrem Arbeitgeber Versicherungsschutz.</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Klagsaufforderung nach § 12 Abs 3
VersVG ist eine empfangsbedürftige Willenserklärung (RIS-Justiz
RS0080201).</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Eingangs sollte die bestehende Versicherung (inklusive
Polizzennummer) und das versicherte Risiko beschrieben werden.
Jedenfalls sollte auch ein Verweis auf die jeweils gültigen
Allgemeinen Bedingungen für die Rechtsschutzversicherung (ARB)
aufgeführt werden. Auch wenn es grundsätzlich keine
Genehmigungspflicht für Allgemeine Bedingungen von Versicherern
mehr gibt und jeder Rechtsschutzversicherer meist über eigene ARB
verfügt, ähneln sich diese zumeist stark.</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klagende Partei stand ab 1. Juli 2021 bei der Spartgern GmbH
in einem Beschäftigungsverhältnis als Dienstnehmer. Obwohl
sämtliche Kriterien für ein echtes Dienstverhältnis vorlagen
(persönliche Arbeitsleistungspflicht, Gebundenheit an Arbeitszeit,
Arbeitsort und arbeitsbezogenes Verhalten, Weisungsunterworfenheit,
Eingliederung in die Unternehmensstruktur des Dienstgebers etc)
wurde die klagende Partei als Werkvertragsnehmer eingestuft und
dementsprechend über den gesamten Zeitraum des
Beschäftigungsverhältnisses auch (nur) als Werkvertragsnehmer
entlohnt. Am 29. Dezember 2023 wurde der Werkvertrag mit der
klagenden Partei zum 31. Dezember 2023 aufgekündigt und die
klagende Partei aus ihrem Büro entfernt.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klagende Partei hat nunmehr vor dem Arbeits- und
Sozialgericht eine Klage hinsichtlich kollektivvertraglicher
Mindestlohnansprüche, Urlaubsersatzleistung, Abfindungsansprüchen
und Kündigungsentschädigung eingebracht. In Summe macht die
klagende Partei einen Betrag in Höhe von EUR 7.936,50 sA
geltend. Das Verfahren wird zu GZ 26 Cga 4299/22i geführt.</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br/>
        <w:t xml:space="preserve">In der Folge ist der zu deckende Prozess darzulegen. Die
Deckungsklage kann, je nach Art der Streitigkeit zeitlich vor
Einleitung des Prozesses, während dieser noch läuft oder nach
dessen Abschluss erhoben werden. Wurde der Rechtsstreit noch nicht
eingeleitet, ist der entsprechend beabsichtigte Prozess näher zu
erläutern. Wie bereits unter Punkt 4 erläutert, hat der Status des
zu deckenden Prozesses auch auf die Deckungsklage Auswirkungen, als
diese eine reine Feststellungsklage, eine Kombination aus
Leistungs- und Feststellungsklage oder als reine Leistungsklage
sein kann.</w:t>
      </w:r>
    </w:p>
    <w:p>
      <w:pPr>
        <w:widowControl w:val="on"/>
        <w:pBdr/>
        <w:spacing w:before="140" w:after="240" w:line="288" w:lineRule="auto"/>
        <w:ind w:left="0" w:right="0"/>
        <w:jc w:val="left"/>
      </w:pPr>
      <w:r>
        <w:rPr>
          <w:rFonts w:ascii="Arial" w:hAnsi="Arial" w:eastAsia="Arial" w:cs="Arial"/>
          <w:color w:val="000000"/>
          <w:sz w:val="20"/>
          <w:szCs w:val="20"/>
        </w:rPr>
        <w:t xml:space="preserve">Ist das Verfahren bereits eingeleitet oder sogar abgeschlossen,
empfiehlt es sich in der Regel auch den entsprechenden Akt
beizuschaffen, da dieser zum Beweis für die Deckungspflicht, aber
auch insbesondere zur Höhe der angefallenen Kosten dienen kann.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beklagte Partei lehnte in der Folge mit Schreiben vom 18.
Jänner 2025 die Deckung mit der Begründung ab, dass die klagende
Partei laut dem zugrundeliegenden Werkvertrag mit der Spartgern
GmbH Werkvertragsnehmer und somit kein Arbeitnehmer iSd § 51
ASGG bzw Art 21.1.1 sei. Aus diesem Grund sei die vorliegende
Rechtsstreitigkeit auch nicht vom Versicherungsschutz umfasst.</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Kläger richtete, wieder durch seinen Rechtsvertreter, in der
Folge ein weiteres Schreiben an die Beklagte, in welchem dieser
klarstellte, dass er sehr wohl als Arbeitnehmer zu qualifizieren
sei. Die Behauptung, er sei bloßer Werkvertragsnehmer stamme
lediglich von seinem ehemaligen Arbeitgeber, um die Nichtzahlung
der dem Kläger zustehenden Ansprüche zu begründen. Unabhängig davon
wäre aber auch im Falle der Strittigkeit seiner
Arbeitnehmereigenschaft der Prozess jedenfalls zu decken. Die
beklagte Partei beantwortete dieses Schreiben erneut abschlägig und
gab an, auf ihrem Rechtsstandpunkt zu beharren.</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7</w:t>
      </w:r>
      <w:r>
        <w:rPr>
          <w:rFonts w:ascii="Arial" w:hAnsi="Arial" w:eastAsia="Arial" w:cs="Arial"/>
          <w:color w:val="000000"/>
          <w:sz w:val="20"/>
          <w:szCs w:val="20"/>
        </w:rPr>
        <w:br/>
        <w:t xml:space="preserve">Zum Beleg des Anlasses der Klagsführung bzw im Hinblick auf
allfällige Verjährungsthemen (siehe Punkt 1) können allenfalls noch
die Verhandlungen mit der Rechtsschutzversicherung geschildert
werden. Relevant ist letztlich nur die Tatsache, dass die
Versicherung die Deckung abgelehnt hat (oder allenfalls die
Deckungsanfrage nicht beantwortete). Weitergehende Verhandlungen
mit der Rechtsschutzversicherung sind zwar in der Regel, wie
bereits erwähnt, meist sinnvoll, aber keine Voraussetzung für das
Erheben der Deckungsklage.</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klagende Partei hat in ihrer Deckungsanfrage klar dargelegt,
dass sie die zu deckende Rechtewahrnehmung in der versicherten
Eigenschaft (nämlich als „Arbeitnehmer“ iSd § 51 ASGG)
betrifft. Auch wenn die Frage, ob der klagenden Partei im Prozess
gegen ihren ehemaligen Arbeitgeber die Rolle eines Arbeitnehmers
zukommt, strittig und prozessentscheidend ist, besteht für die
beklagte Partei als Rechtsschutzversicherer Deckungspflicht (vgl
Armbrüster in </w:t>
            </w:r>
            <w:r>
              <w:rPr>
                <w:rFonts w:ascii="Arial" w:hAnsi="Arial" w:eastAsia="Arial" w:cs="Arial"/>
                <w:i/>
                <w:iCs/>
                <w:color w:val="000000"/>
                <w:position w:val="0"/>
                <w:sz w:val="20"/>
                <w:szCs w:val="20"/>
                <w:shd w:val="clear" w:color="auto" w:fill="FFFFFF"/>
              </w:rPr>
              <w:t xml:space="preserve">Prölss/Martin</w:t>
            </w:r>
            <w:r>
              <w:rPr>
                <w:rFonts w:ascii="Arial" w:hAnsi="Arial" w:eastAsia="Arial" w:cs="Arial"/>
                <w:color w:val="000000"/>
                <w:position w:val="0"/>
                <w:sz w:val="20"/>
                <w:szCs w:val="20"/>
                <w:shd w:val="clear" w:color="auto" w:fill="FFFFFF"/>
              </w:rPr>
              <w:t xml:space="preserve">,
Versicherungsvertragsgesetz</w:t>
            </w:r>
            <w:r>
              <w:rPr>
                <w:rFonts w:ascii="Arial" w:hAnsi="Arial" w:eastAsia="Arial" w:cs="Arial"/>
                <w:color w:val="000000"/>
                <w:position w:val="3"/>
                <w:sz w:val="18"/>
                <w:szCs w:val="18"/>
                <w:shd w:val="clear" w:color="auto" w:fill="FFFFFF"/>
                <w:vertAlign w:val="superscript"/>
              </w:rPr>
              <w:t xml:space="preserve">28</w:t>
            </w:r>
            <w:r>
              <w:rPr>
                <w:rFonts w:ascii="Arial" w:hAnsi="Arial" w:eastAsia="Arial" w:cs="Arial"/>
                <w:color w:val="000000"/>
                <w:position w:val="0"/>
                <w:sz w:val="20"/>
                <w:szCs w:val="20"/>
                <w:shd w:val="clear" w:color="auto" w:fill="FFFFFF"/>
              </w:rPr>
              <w:t xml:space="preserve">, S 239 f). Die
Deckungspflicht würde die beklagte Partei sogar treffen, wenn sich
letztlich herausstellen würde, dass dem Kläger die Eigenschaft als
Arbeitnehmer nicht zukommt, weshalb die beklagte Partei ihre
Deckungsprüfung auch nicht vom Prozessergebnis abhängig machen
dürfte (vgl </w:t>
            </w:r>
            <w:r>
              <w:rPr>
                <w:rFonts w:ascii="Arial" w:hAnsi="Arial" w:eastAsia="Arial" w:cs="Arial"/>
                <w:i/>
                <w:iCs/>
                <w:color w:val="000000"/>
                <w:position w:val="0"/>
                <w:sz w:val="20"/>
                <w:szCs w:val="20"/>
                <w:shd w:val="clear" w:color="auto" w:fill="FFFFFF"/>
              </w:rPr>
              <w:t xml:space="preserve">Hartmann</w:t>
            </w:r>
            <w:r>
              <w:rPr>
                <w:rFonts w:ascii="Arial" w:hAnsi="Arial" w:eastAsia="Arial" w:cs="Arial"/>
                <w:color w:val="000000"/>
                <w:position w:val="0"/>
                <w:sz w:val="20"/>
                <w:szCs w:val="20"/>
                <w:shd w:val="clear" w:color="auto" w:fill="FFFFFF"/>
              </w:rPr>
              <w:t xml:space="preserve">, Rechtsschutzversicherung,
S 536).</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8</w:t>
      </w:r>
      <w:r>
        <w:rPr>
          <w:rFonts w:ascii="Arial" w:hAnsi="Arial" w:eastAsia="Arial" w:cs="Arial"/>
          <w:color w:val="000000"/>
          <w:sz w:val="20"/>
          <w:szCs w:val="20"/>
        </w:rPr>
        <w:br/>
        <w:t xml:space="preserve">Abschließend sollte rechtlich ausgeführt werden, warum nach Ansicht
der klagenden Partei der vorliegende Prozess einer Deckungspflicht
unterliegt. Sofern sich die Streitigkeiten auf Bestimmungen der ARB
bezieht, sollten die zugrundeliegenden Bestimmungen bereits
entsprechend erläutert werden. Hier lohnt sich auch ein Eingehen
auf die Begründung der Rechtsschutzversicherung für die Ablehnung
(sofern vorhanden).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Beantragt wird daher zu fällen nachstehendes</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center"/>
              <w:textAlignment w:val="top"/>
            </w:pPr>
            <w:r>
              <w:rPr>
                <w:rFonts w:ascii="Arial" w:hAnsi="Arial" w:eastAsia="Arial" w:cs="Arial"/>
                <w:b/>
                <w:bCs/>
                <w:color w:val="000000"/>
                <w:position w:val="0"/>
                <w:sz w:val="20"/>
                <w:szCs w:val="20"/>
                <w:shd w:val="clear" w:color="auto" w:fill="FFFFFF"/>
              </w:rPr>
              <w:t xml:space="preserve">Urteil:</w:t>
            </w:r>
          </w:p>
        </w:tc>
      </w:tr>
      <w:tr>
        <w:trPr>
          <w:trHeight w:val="0" w:hRule="atLeast"/>
        </w:trPr>
        <w:tc>
          <w:tcPr>
            <w:tcW w:w="0" w:type="auto"/>
            <w:shd w:val="clear" w:color="auto" w:fill="FFFFFF"/>
            <w:tcMar>
              <w:top w:w="156" w:type="dxa"/>
              <w:left w:w="0" w:type="auto"/>
              <w:bottom w:w="78" w:type="dxa"/>
              <w:right w:w="0" w:type="auto"/>
            </w:tcMar>
            <w:vAlign w:val="top"/>
          </w:tcPr>
          <w:p>
            <w:pPr>
              <w:numPr>
                <w:ilvl w:val="0"/>
                <w:numId w:val="219112657"/>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Die beklagte Partei ist schuldig, der klagenden Partei, in dem
zur GZ 26 Cga 4299/22i vor dem Arbeits- und Sozialgericht Wien
zwischen der klagenden Partei und der Spartgern GmbH wegen
EUR 7.936,50 sA anhängigen Rechtsstreit aufgrund des
aufrechten Versicherungsverhältnisses aus der
Rechtsschutzversicherungspolizze Nr … Deckung zu
gewähren.</w:t>
            </w:r>
          </w:p>
          <w:p>
            <w:pPr>
              <w:numPr>
                <w:ilvl w:val="0"/>
                <w:numId w:val="219112657"/>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Die beklagte Partei ist schuldig, der klagenden Partei die
Kosten dieses Rechtsstreites gem § 19a RAO zuhanden des
Klagevertreters binnen 14 Tagen bei sonstiger Exekution zu
ersetzen.</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9</w:t>
      </w:r>
      <w:r>
        <w:rPr>
          <w:rFonts w:ascii="Arial" w:hAnsi="Arial" w:eastAsia="Arial" w:cs="Arial"/>
          <w:color w:val="000000"/>
          <w:sz w:val="20"/>
          <w:szCs w:val="20"/>
        </w:rPr>
        <w:br/>
        <w:t xml:space="preserve">Sofern die Deckungsklage (noch) eine Feststellungsklage ist, ist
mit dem beantragten Urteil auszusprechen, dass die
Rechtsschutzversicherung als beklagte Partei für den geführten
Prozess aufgrund des aufrechten Versicherungsverhältnisses Deckung
zu gewähren hat. Damit wird einerseits festgestellt, dass die
klagsgegenständliche Versicherung im Zeitpunkt des Schadensfalles
aufrecht ist und der vorliegende Prozess aufgrund eines
versicherten Ereignisses zu decken ist.</w:t>
      </w:r>
    </w:p>
    <w:p>
      <w:pPr>
        <w:widowControl w:val="on"/>
        <w:pBdr/>
        <w:spacing w:before="140" w:after="240" w:line="288" w:lineRule="auto"/>
        <w:ind w:left="0" w:right="0"/>
        <w:jc w:val="left"/>
      </w:pPr>
      <w:r>
        <w:rPr>
          <w:rFonts w:ascii="Arial" w:hAnsi="Arial" w:eastAsia="Arial" w:cs="Arial"/>
          <w:color w:val="000000"/>
          <w:sz w:val="20"/>
          <w:szCs w:val="20"/>
        </w:rPr>
        <w:t xml:space="preserve">Ist der Prozess noch nicht anhängig, muss das
Feststellungsbegehren entsprechend das beabsichtigte Verfahren
umschreiben („… die gegen die Spartgern GmbH zu erhebende Klage
wegen Beendigungsansprüchen aus dem Dienstverhältnis über einen
Betrag von EUR 7.936,50 sA sowie der in der Folge zu führende
Rechtsstreit …“). Ist der Rechtsstreit noch nicht exakt
spezifizierbar, ist auf das anspruchsbegründete Ereignis
abzustellen („… sämtlichen Rechtstreitigkeit aus dem Vorfall vom
…“). Das Urteil sollte von der Formulierung her die Qualität einer
Deckungszusage durch die Rechtsschutzversicherung aufweisen.</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Kostenverzeichnis:</w:t>
            </w:r>
            <w:r>
              <w:rPr>
                <w:rFonts w:ascii="Arial" w:hAnsi="Arial" w:eastAsia="Arial" w:cs="Arial"/>
                <w:color w:val="000000"/>
                <w:position w:val="0"/>
                <w:sz w:val="20"/>
                <w:szCs w:val="20"/>
                <w:shd w:val="clear" w:color="auto" w:fill="FFFFFF"/>
              </w:rPr>
              <w:br/>
              <w:t xml:space="preserve">TP 3A RATG</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10</w:t>
      </w:r>
      <w:r>
        <w:rPr>
          <w:rFonts w:ascii="Arial" w:hAnsi="Arial" w:eastAsia="Arial" w:cs="Arial"/>
          <w:color w:val="000000"/>
          <w:sz w:val="20"/>
          <w:szCs w:val="20"/>
        </w:rPr>
        <w:br/>
        <w:t xml:space="preserve">Für die Deckungsklage steht grundsätzlich eine Entlohnung gem
TP 3A RATG zu.</w:t>
      </w:r>
    </w:p>
    <w:p>
      <w:pPr>
        <w:widowControl w:val="on"/>
        <w:pBdr/>
        <w:spacing w:before="140" w:after="240" w:line="288" w:lineRule="auto"/>
        <w:ind w:left="0" w:right="0"/>
        <w:jc w:val="left"/>
      </w:pPr>
      <w:r>
        <w:rPr>
          <w:rFonts w:ascii="Arial" w:hAnsi="Arial" w:eastAsia="Arial" w:cs="Arial"/>
          <w:b/>
          <w:bCs/>
          <w:color w:val="000000"/>
          <w:sz w:val="20"/>
          <w:szCs w:val="20"/>
        </w:rPr>
        <w:t xml:space="preserve">11</w:t>
      </w:r>
      <w:r>
        <w:rPr>
          <w:rFonts w:ascii="Arial" w:hAnsi="Arial" w:eastAsia="Arial" w:cs="Arial"/>
          <w:color w:val="000000"/>
          <w:sz w:val="20"/>
          <w:szCs w:val="20"/>
        </w:rPr>
        <w:br/>
        <w:t xml:space="preserve">Der Beginn der in § 12 Abs 1 VersVG normierten
Verjährungsfrist hängt von der in § 11 VersVG geregelten
Fälligkeit ab (OGH 29.01.2025, 7 Ob 219/24t).</w:t>
      </w:r>
    </w:p>
    <w:p>
      <w:pPr>
        <w:widowControl w:val="on"/>
        <w:pBdr/>
        <w:spacing w:before="140" w:after="240" w:line="288" w:lineRule="auto"/>
        <w:ind w:left="0" w:right="0"/>
        <w:jc w:val="left"/>
      </w:pPr>
      <w:r>
        <w:rPr>
          <w:rFonts w:ascii="Arial" w:hAnsi="Arial" w:eastAsia="Arial" w:cs="Arial"/>
          <w:color w:val="000000"/>
          <w:sz w:val="20"/>
          <w:szCs w:val="20"/>
        </w:rPr>
        <w:t xml:space="preserve">§ 12 Abs 1 VersVG enthält eine die Verjährung von
Versicherungsansprüchen regelnde Sonderbestimmung. Entscheidend für
den Beginn des Laufes der Verjährungsfrist ist der Zeitpunkt, zu
dem die Fälligkeit der geforderten Vertragsleistung, die mit
Verjährung bekämpft wird, eingetreten ist (OGH 29.01.2025, 7 Ob
219/24t).</w:t>
      </w:r>
    </w:p>
    <w:p>
      <w:pPr>
        <w:widowControl w:val="on"/>
        <w:pBdr/>
        <w:spacing w:before="140" w:after="240" w:line="288" w:lineRule="auto"/>
        <w:ind w:left="0" w:right="0"/>
        <w:jc w:val="left"/>
      </w:pPr>
      <w:r>
        <w:rPr>
          <w:rFonts w:ascii="Arial" w:hAnsi="Arial" w:eastAsia="Arial" w:cs="Arial"/>
          <w:color w:val="000000"/>
          <w:sz w:val="20"/>
          <w:szCs w:val="20"/>
        </w:rPr>
        <w:t xml:space="preserve">Die Fälligkeit des Geldleistungsanspruches des Versicherten
tritt jedenfalls ein, sobald der Versicherer die Leistung ablehnt.
Damit endet auch die im § 12 Abs 2 VersVG vorgesehene
Hemmung der Verjährung für die Zeit zwischen der Anmeldung des
Anspruches und der schriftlichen Entscheidung des Versicherers mit
der Anführung der der Ablehnung zugrunde gelegten Tatsachen und
gesetzlichen oder vertraglichen Bestimmungen (OGH 29.01.2025, 7 Ob
219/24t).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911265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08014534">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2956338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86270196">
    <w:multiLevelType w:val="hybridMultilevel"/>
    <w:lvl w:ilvl="0" w:tplc="90060577">
      <w:start w:val="1"/>
      <w:numFmt w:val="decimal"/>
      <w:lvlText w:val="%1."/>
      <w:lvlJc w:val="left"/>
      <w:pPr>
        <w:ind w:left="720" w:hanging="360"/>
      </w:pPr>
    </w:lvl>
    <w:lvl w:ilvl="1" w:tplc="90060577" w:tentative="1">
      <w:start w:val="1"/>
      <w:numFmt w:val="lowerLetter"/>
      <w:lvlText w:val="%2."/>
      <w:lvlJc w:val="left"/>
      <w:pPr>
        <w:ind w:left="1440" w:hanging="360"/>
      </w:pPr>
    </w:lvl>
    <w:lvl w:ilvl="2" w:tplc="90060577" w:tentative="1">
      <w:start w:val="1"/>
      <w:numFmt w:val="lowerRoman"/>
      <w:lvlText w:val="%3."/>
      <w:lvlJc w:val="right"/>
      <w:pPr>
        <w:ind w:left="2160" w:hanging="180"/>
      </w:pPr>
    </w:lvl>
    <w:lvl w:ilvl="3" w:tplc="90060577" w:tentative="1">
      <w:start w:val="1"/>
      <w:numFmt w:val="decimal"/>
      <w:lvlText w:val="%4."/>
      <w:lvlJc w:val="left"/>
      <w:pPr>
        <w:ind w:left="2880" w:hanging="360"/>
      </w:pPr>
    </w:lvl>
    <w:lvl w:ilvl="4" w:tplc="90060577" w:tentative="1">
      <w:start w:val="1"/>
      <w:numFmt w:val="lowerLetter"/>
      <w:lvlText w:val="%5."/>
      <w:lvlJc w:val="left"/>
      <w:pPr>
        <w:ind w:left="3600" w:hanging="360"/>
      </w:pPr>
    </w:lvl>
    <w:lvl w:ilvl="5" w:tplc="90060577" w:tentative="1">
      <w:start w:val="1"/>
      <w:numFmt w:val="lowerRoman"/>
      <w:lvlText w:val="%6."/>
      <w:lvlJc w:val="right"/>
      <w:pPr>
        <w:ind w:left="4320" w:hanging="180"/>
      </w:pPr>
    </w:lvl>
    <w:lvl w:ilvl="6" w:tplc="90060577" w:tentative="1">
      <w:start w:val="1"/>
      <w:numFmt w:val="decimal"/>
      <w:lvlText w:val="%7."/>
      <w:lvlJc w:val="left"/>
      <w:pPr>
        <w:ind w:left="5040" w:hanging="360"/>
      </w:pPr>
    </w:lvl>
    <w:lvl w:ilvl="7" w:tplc="90060577" w:tentative="1">
      <w:start w:val="1"/>
      <w:numFmt w:val="lowerLetter"/>
      <w:lvlText w:val="%8."/>
      <w:lvlJc w:val="left"/>
      <w:pPr>
        <w:ind w:left="5760" w:hanging="360"/>
      </w:pPr>
    </w:lvl>
    <w:lvl w:ilvl="8" w:tplc="90060577" w:tentative="1">
      <w:start w:val="1"/>
      <w:numFmt w:val="lowerRoman"/>
      <w:lvlText w:val="%9."/>
      <w:lvlJc w:val="right"/>
      <w:pPr>
        <w:ind w:left="6480" w:hanging="180"/>
      </w:pPr>
    </w:lvl>
  </w:abstractNum>
  <w:abstractNum w:abstractNumId="86270195">
    <w:multiLevelType w:val="hybridMultilevel"/>
    <w:lvl w:ilvl="0" w:tplc="927712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270195">
    <w:abstractNumId w:val="86270195"/>
  </w:num>
  <w:num w:numId="86270196">
    <w:abstractNumId w:val="86270196"/>
  </w:num>
  <w:num w:numId="429563389">
    <w:abstractNumId w:val="429563389"/>
  </w:num>
  <w:num w:numId="608014534">
    <w:abstractNumId w:val="608014534"/>
  </w:num>
  <w:num w:numId="219112657">
    <w:abstractNumId w:val="2191126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439996362" Type="http://schemas.openxmlformats.org/officeDocument/2006/relationships/numbering" Target="numbering.xml"/><Relationship Id="rId177040038"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