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864359" w:name="document"/>
    <w:bookmarkEnd w:id="90864359"/>
    <w:p/>
    <w:p>
      <w:pPr>
        <w:widowControl w:val="on"/>
        <w:pBdr/>
        <w:spacing w:before="0" w:after="280" w:line="240" w:lineRule="auto"/>
        <w:ind w:left="0" w:right="0"/>
        <w:jc w:val="left"/>
      </w:pPr>
      <w:r>
        <w:rPr>
          <w:rFonts w:ascii="Arial" w:hAnsi="Arial" w:eastAsia="Arial" w:cs="Arial"/>
          <w:color w:val="363A40"/>
          <w:sz w:val="24"/>
          <w:szCs w:val="24"/>
        </w:rPr>
        <w:t xml:space="preserve">Dokument-ID: 866145 | Ronald Kartnig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auf Geltendmachung einer Invaliditätsentschädigung</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Max Mustermann</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Abbuchungsermächtigung erteilt</w:t>
      </w:r>
      <w:r>
        <w:rPr>
          <w:rFonts w:ascii="Arial" w:hAnsi="Arial" w:eastAsia="Arial" w:cs="Arial"/>
          <w:color w:val="000000"/>
          <w:sz w:val="20"/>
          <w:szCs w:val="20"/>
        </w:rPr>
        <w:br/>
        <w:t xml:space="preserve">gem § 4 Abs 4 GGG (bis EUR 7.947,80)</w:t>
      </w:r>
      <w:r>
        <w:rPr>
          <w:rFonts w:ascii="Arial" w:hAnsi="Arial" w:eastAsia="Arial" w:cs="Arial"/>
          <w:color w:val="000000"/>
          <w:sz w:val="20"/>
          <w:szCs w:val="20"/>
        </w:rPr>
        <w:br/>
        <w:t xml:space="preserve">IBAN: AT … BIC: …</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01.09.2016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Zita Verunfallte</w:t>
            </w:r>
            <w:r>
              <w:rPr>
                <w:rFonts w:ascii="Arial" w:hAnsi="Arial" w:eastAsia="Arial" w:cs="Arial"/>
                <w:color w:val="000000"/>
                <w:position w:val="0"/>
                <w:sz w:val="20"/>
                <w:szCs w:val="20"/>
                <w:shd w:val="clear" w:color="auto" w:fill="FFFFFF"/>
              </w:rPr>
              <w:br/>
              <w:t xml:space="preserve">Pensionistin</w:t>
            </w:r>
            <w:r>
              <w:rPr>
                <w:rFonts w:ascii="Arial" w:hAnsi="Arial" w:eastAsia="Arial" w:cs="Arial"/>
                <w:color w:val="000000"/>
                <w:position w:val="0"/>
                <w:sz w:val="20"/>
                <w:szCs w:val="20"/>
                <w:shd w:val="clear" w:color="auto" w:fill="FFFFFF"/>
              </w:rPr>
              <w:br/>
              <w:t xml:space="preserve">Alte Gasse 27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Max Mustermann (R…)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Prozess und Geldvollmacht erteilt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Unfallversicherungs-AG</w:t>
            </w:r>
            <w:r>
              <w:rPr>
                <w:rFonts w:ascii="Arial" w:hAnsi="Arial" w:eastAsia="Arial" w:cs="Arial"/>
                <w:color w:val="000000"/>
                <w:position w:val="0"/>
                <w:sz w:val="20"/>
                <w:szCs w:val="20"/>
                <w:shd w:val="clear" w:color="auto" w:fill="FFFFFF"/>
              </w:rPr>
              <w:br/>
              <w:t xml:space="preserve">FN …</w:t>
            </w:r>
            <w:r>
              <w:rPr>
                <w:rFonts w:ascii="Arial" w:hAnsi="Arial" w:eastAsia="Arial" w:cs="Arial"/>
                <w:color w:val="000000"/>
                <w:position w:val="0"/>
                <w:sz w:val="20"/>
                <w:szCs w:val="20"/>
                <w:shd w:val="clear" w:color="auto" w:fill="FFFFFF"/>
              </w:rPr>
              <w:br/>
              <w:t xml:space="preserve">Breite Gasse 7</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413.400,–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gibt die klagende Partei
bekannt, dass sie Rechtsanwalt Dr. Max Mustermann, 1010 Wien, mit
ihrer rechtsfreundlichen Vertretung beauftragt und diesem Vollmacht
erteilt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Zuständigkeit des angerufenen Gerichts</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hat ihren Sitz in Wien und ist zu … des
Firmenbuchs des Handelsgerichtes Wien eingetragen.</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Klage ist die Geltendmachung einer
Invaliditätsentschädigung aus der privaten Unfallversicherung. Der
Abschluss von Versicherungsverträgen ist für die beklagte Partei
ein unternehmensbezogenes Geschäft.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den gegenständlichen
Versicherungsvertrag als Verbraucher abgeschlossen. Der
klagsgegenständliche Streitwert übersteigt EUR 15.000,–.</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des angerufenen Gerichts gründet sich auf
§§ 51 iVm 65 JN.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Firmenbuchauszug FN …</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Versicherungsverhältnis</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bei der beklagten Partei
unfallversichert. Das Versicherungsverhältnis ist zu 01-234.567-8
polizziert. Dem Vertrag liegen die Allgemeinen Bedingungen für die
Unfallversicherung (AUVB 2014) zu Grunde.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Versicherungsschein vom 01.03.2014 zu
01-234.567-8</w:t>
            </w:r>
            <w:r>
              <w:rPr>
                <w:rFonts w:ascii="Arial" w:hAnsi="Arial" w:eastAsia="Arial" w:cs="Arial"/>
                <w:color w:val="000000"/>
                <w:position w:val="0"/>
                <w:sz w:val="20"/>
                <w:szCs w:val="20"/>
                <w:shd w:val="clear" w:color="auto" w:fill="FFFFFF"/>
              </w:rPr>
              <w:br/>
              <w:t xml:space="preserve">vorzulegende Allg. Bedingungen f. die Unfallversicherung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Sachverhalt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verunfallte am 15. Mai 2016 in ihrer
Wohnung, weil sie über einen Teppich im Wohnzimmer stolperte.
Dadurch hat sich die klagende Partei eine Wirbelsäulenverletzung
zugezogen und leidet seitdem an starken Schmerzen im Bereich der
Lendenwirbelsäule und im Bereich der Beine, insbesondere am linken
Bein. Die Schmerzen traten sofort nach dem Unfall auf.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Aufgrund der Beschwerden wurde die klagende Partei im AKH Wien
aufgenommen und vom 15. bis zum 19. Mai 2016 stationär
behandelt.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Unfallmeldung vom 20. Mai 2016 hat die klagende Partei der
beklagten Partei den Schadenfall angezeigt.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080"/>
        <w:gridCol w:w="11550"/>
      </w:tblGrid>
      <w:tr>
        <w:trPr>
          <w:trHeight w:val="0" w:hRule="atLeast"/>
        </w:trPr>
        <w:tc>
          <w:tcPr>
            <w:tcW w:w="10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15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Aufenthaltsbestätigung vom 19.05.2016</w:t>
            </w:r>
            <w:r>
              <w:rPr>
                <w:rFonts w:ascii="Arial" w:hAnsi="Arial" w:eastAsia="Arial" w:cs="Arial"/>
                <w:color w:val="000000"/>
                <w:position w:val="0"/>
                <w:sz w:val="20"/>
                <w:szCs w:val="20"/>
                <w:shd w:val="clear" w:color="auto" w:fill="FFFFFF"/>
              </w:rPr>
              <w:br/>
              <w:t xml:space="preserve">Vorzulegende Schadensmeldung vom 20.05.2016</w:t>
            </w:r>
            <w:r>
              <w:rPr>
                <w:rFonts w:ascii="Arial" w:hAnsi="Arial" w:eastAsia="Arial" w:cs="Arial"/>
                <w:color w:val="000000"/>
                <w:position w:val="0"/>
                <w:sz w:val="20"/>
                <w:szCs w:val="20"/>
                <w:shd w:val="clear" w:color="auto" w:fill="FFFFFF"/>
              </w:rPr>
              <w:br/>
              <w:t xml:space="preserve">Zeuge Heinz Ehrlich, Ungargasse 110, 1030 Wien</w:t>
            </w:r>
            <w:r>
              <w:rPr>
                <w:rFonts w:ascii="Arial" w:hAnsi="Arial" w:eastAsia="Arial" w:cs="Arial"/>
                <w:color w:val="000000"/>
                <w:position w:val="0"/>
                <w:sz w:val="20"/>
                <w:szCs w:val="20"/>
                <w:shd w:val="clear" w:color="auto" w:fill="FFFFFF"/>
              </w:rPr>
              <w:br/>
              <w:t xml:space="preserve">PV</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sich durch den Unfall eine
Wirbelsäulenverletzung zugezogen und ihre Bandscheiben wurden
schwer beschädigt (Bandscheiben TH11/TH12 sowie TH9/TH10). Sie
leidet seit dem Unfall an massiven Bewegungseinschränkungen und
kann ihren Alltag nur sehr schwer meistern.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 kann nicht lange gehen, stehen, bügeln oder Rad fahren. Der
status quo ist ein Endzustand und eine Besserung ist nicht zu
erwarten.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besteht kein Zweifel, dass der Vorfall vom 15. Mai 2016 einem
Unfall im Sinne der Versicherungsbedingungen entspricht.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bzw in weiterer Folge ihr Klagevertreter
haben die beklagte Partei wiederholt zur Zahlung der
Invaliditätsentschädigung aufgefordert.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hat mit Schreiben vom 29. Juli 2016 ihre
Leistungspflicht abgelehnt, sodass die klagende Partei zur
Klagsführung gezwungen ist.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Befundbericht von Dr. Johannes Wunderheiler vom
20.06.2016</w:t>
            </w:r>
            <w:r>
              <w:rPr>
                <w:rFonts w:ascii="Arial" w:hAnsi="Arial" w:eastAsia="Arial" w:cs="Arial"/>
                <w:color w:val="000000"/>
                <w:position w:val="0"/>
                <w:sz w:val="20"/>
                <w:szCs w:val="20"/>
                <w:shd w:val="clear" w:color="auto" w:fill="FFFFFF"/>
              </w:rPr>
              <w:br/>
              <w:t xml:space="preserve">Vorzulegendes Schreiben des Klagevertreters vom 18.07.2016</w:t>
            </w:r>
            <w:r>
              <w:rPr>
                <w:rFonts w:ascii="Arial" w:hAnsi="Arial" w:eastAsia="Arial" w:cs="Arial"/>
                <w:color w:val="000000"/>
                <w:position w:val="0"/>
                <w:sz w:val="20"/>
                <w:szCs w:val="20"/>
                <w:shd w:val="clear" w:color="auto" w:fill="FFFFFF"/>
              </w:rPr>
              <w:br/>
              <w:t xml:space="preserve">Vorzulegendes Schreiben der beklagten Partei vom 29.07.2016</w:t>
            </w:r>
            <w:r>
              <w:rPr>
                <w:rFonts w:ascii="Arial" w:hAnsi="Arial" w:eastAsia="Arial" w:cs="Arial"/>
                <w:color w:val="000000"/>
                <w:position w:val="0"/>
                <w:sz w:val="20"/>
                <w:szCs w:val="20"/>
                <w:shd w:val="clear" w:color="auto" w:fill="FFFFFF"/>
              </w:rPr>
              <w:br/>
              <w:t xml:space="preserve">Einzuholendes Sachverständigengutachten aus dem Fachgebiet der
Unfallchirurgie</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Invaliditätsentschädigung</w:t>
      </w:r>
    </w:p>
    <w:p>
      <w:pPr>
        <w:widowControl w:val="on"/>
        <w:pBdr/>
        <w:spacing w:before="140" w:after="240" w:line="288" w:lineRule="auto"/>
        <w:ind w:left="0" w:right="0"/>
        <w:jc w:val="left"/>
      </w:pPr>
      <w:r>
        <w:rPr>
          <w:rFonts w:ascii="Arial" w:hAnsi="Arial" w:eastAsia="Arial" w:cs="Arial"/>
          <w:color w:val="000000"/>
          <w:sz w:val="20"/>
          <w:szCs w:val="20"/>
        </w:rPr>
        <w:t xml:space="preserve">Die bei der beklagten Partei abgeschlossene Unfallversicherung
sieht eine Versicherungssumme von EUR 159.000,– vor.</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seit dem Unfall vom 15. Mai 2016 durch
die Wirbelsäulenverletzung massiv in ihren Bewegungen
eingeschränkt, sohin invalid.</w:t>
      </w:r>
    </w:p>
    <w:p>
      <w:pPr>
        <w:widowControl w:val="on"/>
        <w:pBdr/>
        <w:spacing w:before="140" w:after="240" w:line="288" w:lineRule="auto"/>
        <w:ind w:left="0" w:right="0"/>
        <w:jc w:val="left"/>
      </w:pPr>
      <w:r>
        <w:rPr>
          <w:rFonts w:ascii="Arial" w:hAnsi="Arial" w:eastAsia="Arial" w:cs="Arial"/>
          <w:color w:val="000000"/>
          <w:sz w:val="20"/>
          <w:szCs w:val="20"/>
        </w:rPr>
        <w:t xml:space="preserve">Die Voraussetzungen für die Bezahlung der Versicherungsleistung
liegen daher vor (Art 6f der AUVB).</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zumindest zu 70 % invalide.</w:t>
      </w:r>
    </w:p>
    <w:p>
      <w:pPr>
        <w:widowControl w:val="on"/>
        <w:pBdr/>
        <w:spacing w:before="140" w:after="240" w:line="288" w:lineRule="auto"/>
        <w:ind w:left="0" w:right="0"/>
        <w:jc w:val="left"/>
      </w:pPr>
      <w:r>
        <w:rPr>
          <w:rFonts w:ascii="Arial" w:hAnsi="Arial" w:eastAsia="Arial" w:cs="Arial"/>
          <w:color w:val="000000"/>
          <w:sz w:val="20"/>
          <w:szCs w:val="20"/>
        </w:rPr>
        <w:t xml:space="preserve">Dazu kommt eine vereinbarte Progression von 500 %. Laut
Progressionsverlaufstabelle ist bei einem Unfallinvaliditätsgrad
von 70 % bei der Berechnung der Versicherungsleistung ein
(höherer) Invaliditätsgrad von 260 % anzusetzen.</w:t>
      </w:r>
    </w:p>
    <w:p>
      <w:pPr>
        <w:widowControl w:val="on"/>
        <w:pBdr/>
        <w:spacing w:before="140" w:after="240" w:line="288" w:lineRule="auto"/>
        <w:ind w:left="0" w:right="0"/>
        <w:jc w:val="left"/>
      </w:pPr>
      <w:r>
        <w:rPr>
          <w:rFonts w:ascii="Arial" w:hAnsi="Arial" w:eastAsia="Arial" w:cs="Arial"/>
          <w:color w:val="000000"/>
          <w:sz w:val="20"/>
          <w:szCs w:val="20"/>
        </w:rPr>
        <w:t xml:space="preserve">Bei einer versicherten Invaliditätssumme von EUR 159.000,–
entspricht dies EUR 413.400,– an Invaliditätsentschädigung
(Versicherungssumme EUR 159.000,– x 2,6), welche exakt der
Klagssumme entspricht. Die beklagte Partei ist verpflichtet, diesen
Betrag zu leisten.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Versicherungsschein vom 01.03.2014 zu
01-234.567-8</w:t>
            </w:r>
            <w:r>
              <w:rPr>
                <w:rFonts w:ascii="Arial" w:hAnsi="Arial" w:eastAsia="Arial" w:cs="Arial"/>
                <w:color w:val="000000"/>
                <w:position w:val="0"/>
                <w:sz w:val="20"/>
                <w:szCs w:val="20"/>
                <w:shd w:val="clear" w:color="auto" w:fill="FFFFFF"/>
              </w:rPr>
              <w:br/>
              <w:t xml:space="preserve">Vorzulegende Allg. Bedingungen f. die Unfallversicherung</w:t>
            </w:r>
            <w:r>
              <w:rPr>
                <w:rFonts w:ascii="Arial" w:hAnsi="Arial" w:eastAsia="Arial" w:cs="Arial"/>
                <w:color w:val="000000"/>
                <w:position w:val="0"/>
                <w:sz w:val="20"/>
                <w:szCs w:val="20"/>
                <w:shd w:val="clear" w:color="auto" w:fill="FFFFFF"/>
              </w:rPr>
              <w:br/>
              <w:t xml:space="preserve">Vorzulegendes Privatgutachten vom 29.06.2016</w:t>
            </w:r>
            <w:r>
              <w:rPr>
                <w:rFonts w:ascii="Arial" w:hAnsi="Arial" w:eastAsia="Arial" w:cs="Arial"/>
                <w:color w:val="000000"/>
                <w:position w:val="0"/>
                <w:sz w:val="20"/>
                <w:szCs w:val="20"/>
                <w:shd w:val="clear" w:color="auto" w:fill="FFFFFF"/>
              </w:rPr>
              <w:br/>
              <w:t xml:space="preserve">Einzuholendes Sachverständigengutachten aus dem Fachgebiet der
Unfallchirurgie</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Antrag</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begehrt die klagende Partei sohin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ist schuldig, der klagenden Partei binnen 14
Tagen bei sonstiger Exekution EUR 413.400,– samt 4 %
Zinsen seit 30. Juli 2016 zu Handen des Klagevertreters zu
bezahlen.</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ist ferner binnen 14 Tagen bei sonstiger
Exekution schuldig, die Kosten dieses Verfahrens gem § 19a RAO
zu Handen des Klagevertreters zu ersetzen.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Zita Verunfallte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57295">
    <w:multiLevelType w:val="hybridMultilevel"/>
    <w:lvl w:ilvl="0" w:tplc="72084788">
      <w:start w:val="1"/>
      <w:numFmt w:val="decimal"/>
      <w:lvlText w:val="%1."/>
      <w:lvlJc w:val="left"/>
      <w:pPr>
        <w:ind w:left="720" w:hanging="360"/>
      </w:pPr>
    </w:lvl>
    <w:lvl w:ilvl="1" w:tplc="72084788" w:tentative="1">
      <w:start w:val="1"/>
      <w:numFmt w:val="lowerLetter"/>
      <w:lvlText w:val="%2."/>
      <w:lvlJc w:val="left"/>
      <w:pPr>
        <w:ind w:left="1440" w:hanging="360"/>
      </w:pPr>
    </w:lvl>
    <w:lvl w:ilvl="2" w:tplc="72084788" w:tentative="1">
      <w:start w:val="1"/>
      <w:numFmt w:val="lowerRoman"/>
      <w:lvlText w:val="%3."/>
      <w:lvlJc w:val="right"/>
      <w:pPr>
        <w:ind w:left="2160" w:hanging="180"/>
      </w:pPr>
    </w:lvl>
    <w:lvl w:ilvl="3" w:tplc="72084788" w:tentative="1">
      <w:start w:val="1"/>
      <w:numFmt w:val="decimal"/>
      <w:lvlText w:val="%4."/>
      <w:lvlJc w:val="left"/>
      <w:pPr>
        <w:ind w:left="2880" w:hanging="360"/>
      </w:pPr>
    </w:lvl>
    <w:lvl w:ilvl="4" w:tplc="72084788" w:tentative="1">
      <w:start w:val="1"/>
      <w:numFmt w:val="lowerLetter"/>
      <w:lvlText w:val="%5."/>
      <w:lvlJc w:val="left"/>
      <w:pPr>
        <w:ind w:left="3600" w:hanging="360"/>
      </w:pPr>
    </w:lvl>
    <w:lvl w:ilvl="5" w:tplc="72084788" w:tentative="1">
      <w:start w:val="1"/>
      <w:numFmt w:val="lowerRoman"/>
      <w:lvlText w:val="%6."/>
      <w:lvlJc w:val="right"/>
      <w:pPr>
        <w:ind w:left="4320" w:hanging="180"/>
      </w:pPr>
    </w:lvl>
    <w:lvl w:ilvl="6" w:tplc="72084788" w:tentative="1">
      <w:start w:val="1"/>
      <w:numFmt w:val="decimal"/>
      <w:lvlText w:val="%7."/>
      <w:lvlJc w:val="left"/>
      <w:pPr>
        <w:ind w:left="5040" w:hanging="360"/>
      </w:pPr>
    </w:lvl>
    <w:lvl w:ilvl="7" w:tplc="72084788" w:tentative="1">
      <w:start w:val="1"/>
      <w:numFmt w:val="lowerLetter"/>
      <w:lvlText w:val="%8."/>
      <w:lvlJc w:val="left"/>
      <w:pPr>
        <w:ind w:left="5760" w:hanging="360"/>
      </w:pPr>
    </w:lvl>
    <w:lvl w:ilvl="8" w:tplc="72084788" w:tentative="1">
      <w:start w:val="1"/>
      <w:numFmt w:val="lowerRoman"/>
      <w:lvlText w:val="%9."/>
      <w:lvlJc w:val="right"/>
      <w:pPr>
        <w:ind w:left="6480" w:hanging="180"/>
      </w:pPr>
    </w:lvl>
  </w:abstractNum>
  <w:abstractNum w:abstractNumId="43557294">
    <w:multiLevelType w:val="hybridMultilevel"/>
    <w:lvl w:ilvl="0" w:tplc="61260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57294">
    <w:abstractNumId w:val="43557294"/>
  </w:num>
  <w:num w:numId="43557295">
    <w:abstractNumId w:val="43557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2175467" Type="http://schemas.openxmlformats.org/officeDocument/2006/relationships/numbering" Target="numbering.xml"/><Relationship Id="rId6720116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