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3548522" w:name="document"/>
    <w:bookmarkEnd w:id="73548522"/>
    <w:p/>
    <w:p>
      <w:pPr>
        <w:widowControl w:val="on"/>
        <w:pBdr/>
        <w:spacing w:before="0" w:after="280" w:line="240" w:lineRule="auto"/>
        <w:ind w:left="0" w:right="0"/>
        <w:jc w:val="left"/>
      </w:pPr>
      <w:r>
        <w:rPr>
          <w:rFonts w:ascii="Arial" w:hAnsi="Arial" w:eastAsia="Arial" w:cs="Arial"/>
          <w:color w:val="363A40"/>
          <w:sz w:val="24"/>
          <w:szCs w:val="24"/>
        </w:rPr>
        <w:t xml:space="preserve">Dokument-ID: 783421 | Redaktion FORUM Media -
Wolfgang Steinberger - Randolph Schwab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Consultancy Agreement</w:t>
      </w:r>
    </w:p>
    <w:p>
      <w:pPr>
        <w:widowControl w:val="on"/>
        <w:pBdr/>
        <w:spacing w:before="140" w:after="240" w:line="288" w:lineRule="auto"/>
        <w:ind w:left="0" w:right="0"/>
        <w:jc w:val="left"/>
      </w:pPr>
      <w:r>
        <w:rPr>
          <w:rFonts w:ascii="Arial" w:hAnsi="Arial" w:eastAsia="Arial" w:cs="Arial"/>
          <w:color w:val="000000"/>
          <w:sz w:val="20"/>
          <w:szCs w:val="20"/>
        </w:rPr>
        <w:t xml:space="preserve">concluded between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hereinafter “The Consultant”</w:t>
      </w:r>
      <w:r>
        <w:rPr>
          <w:rFonts w:ascii="Arial" w:hAnsi="Arial" w:eastAsia="Arial" w:cs="Arial"/>
          <w:color w:val="000000"/>
          <w:sz w:val="20"/>
          <w:szCs w:val="20"/>
        </w:rPr>
        <w:br/>
        <w:t xml:space="preserve">on one side</w:t>
      </w:r>
    </w:p>
    <w:p>
      <w:pPr>
        <w:widowControl w:val="on"/>
        <w:pBdr/>
        <w:spacing w:before="140" w:after="240" w:line="288" w:lineRule="auto"/>
        <w:ind w:left="0" w:right="0"/>
        <w:jc w:val="left"/>
      </w:pPr>
      <w:r>
        <w:rPr>
          <w:rFonts w:ascii="Arial" w:hAnsi="Arial" w:eastAsia="Arial" w:cs="Arial"/>
          <w:color w:val="000000"/>
          <w:sz w:val="20"/>
          <w:szCs w:val="20"/>
        </w:rPr>
        <w:t xml:space="preserve">and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hereinafter “The Principal”</w:t>
      </w:r>
      <w:r>
        <w:rPr>
          <w:rFonts w:ascii="Arial" w:hAnsi="Arial" w:eastAsia="Arial" w:cs="Arial"/>
          <w:color w:val="000000"/>
          <w:sz w:val="20"/>
          <w:szCs w:val="20"/>
        </w:rPr>
        <w:br/>
        <w:t xml:space="preserve">on the other side</w:t>
      </w:r>
    </w:p>
    <w:p>
      <w:pPr>
        <w:widowControl w:val="on"/>
        <w:pBdr/>
        <w:spacing w:before="140" w:after="240" w:line="288" w:lineRule="auto"/>
        <w:ind w:left="0" w:right="0"/>
        <w:jc w:val="left"/>
      </w:pPr>
      <w:r>
        <w:rPr>
          <w:rFonts w:ascii="Arial" w:hAnsi="Arial" w:eastAsia="Arial" w:cs="Arial"/>
          <w:color w:val="000000"/>
          <w:sz w:val="20"/>
          <w:szCs w:val="20"/>
        </w:rPr>
        <w:t xml:space="preserve">as follows:</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Introduction</w:t>
      </w:r>
    </w:p>
    <w:p>
      <w:pPr>
        <w:widowControl w:val="on"/>
        <w:pBdr/>
        <w:spacing w:before="140" w:after="240" w:line="288" w:lineRule="auto"/>
        <w:ind w:left="0" w:right="0"/>
        <w:jc w:val="left"/>
      </w:pPr>
      <w:r>
        <w:rPr>
          <w:rFonts w:ascii="Arial" w:hAnsi="Arial" w:eastAsia="Arial" w:cs="Arial"/>
          <w:color w:val="000000"/>
          <w:sz w:val="20"/>
          <w:szCs w:val="20"/>
        </w:rPr>
        <w:t xml:space="preserve">The Principal plans to … In this context, the Principal requires
consulting in the field of … the Consultant has specific experience
in … Therefore, the Consultant and the Principal conclude the
contract at hand concerning consulting in the field of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Content and Extent of
Consulting</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shall consult the Principal in the field of … The
area of … shall not be covered. For that purpose, the parties shall
meet each other once per week at the seat of the Principal. Within
one week, the Consultant shall summarize the contents of these
meetings and send them to the Principal.</w:t>
      </w:r>
    </w:p>
    <w:p>
      <w:pPr>
        <w:widowControl w:val="on"/>
        <w:pBdr/>
        <w:spacing w:before="140" w:after="240" w:line="288" w:lineRule="auto"/>
        <w:ind w:left="0" w:right="0"/>
        <w:jc w:val="left"/>
      </w:pPr>
      <w:r>
        <w:rPr>
          <w:rFonts w:ascii="Arial" w:hAnsi="Arial" w:eastAsia="Arial" w:cs="Arial"/>
          <w:color w:val="000000"/>
          <w:sz w:val="20"/>
          <w:szCs w:val="20"/>
        </w:rPr>
        <w:t xml:space="preserve">Upon consulting, the Consultant is not bound to any working
time, instructions or working place. The Consultant is free to
consult other principals in the field of …</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shall consult in accordance with generally
accepted professional standards. The Consultant shall use his
specific experience and knowledge in the field of … and permanently
update his knowledge in this field.</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is entitled to engage experts, employees and
freelancing cooperation-partners for consulting.</w:t>
      </w:r>
    </w:p>
    <w:p>
      <w:pPr>
        <w:widowControl w:val="on"/>
        <w:pBdr/>
        <w:spacing w:before="140" w:after="240" w:line="288" w:lineRule="auto"/>
        <w:ind w:left="0" w:right="0"/>
        <w:jc w:val="left"/>
      </w:pPr>
      <w:r>
        <w:rPr>
          <w:rFonts w:ascii="Arial" w:hAnsi="Arial" w:eastAsia="Arial" w:cs="Arial"/>
          <w:color w:val="000000"/>
          <w:sz w:val="20"/>
          <w:szCs w:val="20"/>
        </w:rPr>
        <w:t xml:space="preserve">The Principal endeavours that the Consultant disposes of all
documents necessary for complying with the Consultancy Agreement
and that Consultant gets knowledge of all circumstances which are
relevant for the consulting.</w:t>
      </w:r>
    </w:p>
    <w:p>
      <w:pPr>
        <w:widowControl w:val="on"/>
        <w:pBdr/>
        <w:spacing w:before="140" w:after="240" w:line="288" w:lineRule="auto"/>
        <w:ind w:left="0" w:right="0"/>
        <w:jc w:val="left"/>
      </w:pPr>
      <w:r>
        <w:rPr>
          <w:rFonts w:ascii="Arial" w:hAnsi="Arial" w:eastAsia="Arial" w:cs="Arial"/>
          <w:color w:val="000000"/>
          <w:sz w:val="20"/>
          <w:szCs w:val="20"/>
        </w:rPr>
        <w:t xml:space="preserve">Any change, extension, or modification of the scope of
consulting services must be agreed upon in writing by both parties
prior to implementation. The Consultant shall be entitled to adjust
the agreed fees and timelines accordingly. Without such written
agreement, the Consultant is not obliged to perform additional
services.</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Extent of Consulting</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shall recommend measures in the field of … to the
Principal in a written report. The report shall have the structure
as described in Annex … and shall contain between … and … marks. It
shall not cover … On … the Consultant shall send a first draft of
the report to the Principal for review. Within … days, the
Principal may require amendments of or supplements to the draft.
The Consultant shall complete the report in accordance with these
requests to the extent they are consistent with the then present
state of the Consultant's art. Due date for delivery of the report
is …</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shall be available for meetings at the seat of
the Principal in the extent of … hours per month from Monday to
Friday, between … and … o'clock. The parties shall fix date and
duration of every meeting mutually. The Principal shall contact the
Consultant at the latest … days before the envisaged date.</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Personal Rendering of Service</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guarantees to render consulting services
exclusively personally.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Fees</w:t>
      </w:r>
    </w:p>
    <w:p>
      <w:pPr>
        <w:widowControl w:val="on"/>
        <w:pBdr/>
        <w:spacing w:before="140" w:after="240" w:line="288" w:lineRule="auto"/>
        <w:ind w:left="0" w:right="0"/>
        <w:jc w:val="left"/>
      </w:pPr>
      <w:r>
        <w:rPr>
          <w:rFonts w:ascii="Arial" w:hAnsi="Arial" w:eastAsia="Arial" w:cs="Arial"/>
          <w:color w:val="000000"/>
          <w:sz w:val="20"/>
          <w:szCs w:val="20"/>
        </w:rPr>
        <w:t xml:space="preserve">For his consulting services, the Principal shall pay to the
Consultant a monthly lump sum in the amount of EUR … plus VAT,
including all expenses.</w:t>
      </w:r>
    </w:p>
    <w:p>
      <w:pPr>
        <w:widowControl w:val="on"/>
        <w:pBdr/>
        <w:spacing w:before="140" w:after="240" w:line="288" w:lineRule="auto"/>
        <w:ind w:left="0" w:right="0"/>
        <w:jc w:val="left"/>
      </w:pPr>
      <w:r>
        <w:rPr>
          <w:rFonts w:ascii="Arial" w:hAnsi="Arial" w:eastAsia="Arial" w:cs="Arial"/>
          <w:color w:val="000000"/>
          <w:sz w:val="20"/>
          <w:szCs w:val="20"/>
        </w:rPr>
        <w:t xml:space="preserve">The fees are due on the last day of the month in which the
billed services were rendered.</w:t>
      </w:r>
    </w:p>
    <w:p>
      <w:pPr>
        <w:widowControl w:val="on"/>
        <w:pBdr/>
        <w:spacing w:before="140" w:after="240" w:line="288" w:lineRule="auto"/>
        <w:ind w:left="0" w:right="0"/>
        <w:jc w:val="left"/>
      </w:pPr>
      <w:r>
        <w:rPr>
          <w:rFonts w:ascii="Arial" w:hAnsi="Arial" w:eastAsia="Arial" w:cs="Arial"/>
          <w:color w:val="000000"/>
          <w:sz w:val="20"/>
          <w:szCs w:val="20"/>
        </w:rPr>
        <w:t xml:space="preserve">If the Consultant fails to render consulting services due to
circumstances in the Principal's sphere, the Consultant keeps his
claim for payment.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Fees Hourly Rate</w:t>
      </w:r>
    </w:p>
    <w:p>
      <w:pPr>
        <w:widowControl w:val="on"/>
        <w:pBdr/>
        <w:spacing w:before="140" w:after="240" w:line="288" w:lineRule="auto"/>
        <w:ind w:left="0" w:right="0"/>
        <w:jc w:val="left"/>
      </w:pPr>
      <w:r>
        <w:rPr>
          <w:rFonts w:ascii="Arial" w:hAnsi="Arial" w:eastAsia="Arial" w:cs="Arial"/>
          <w:color w:val="277DB9"/>
          <w:sz w:val="20"/>
          <w:szCs w:val="20"/>
        </w:rPr>
        <w:t xml:space="preserve">For consulting services, the Principal shall pay to the
Consultant an hourly rate of … plus VAT and expenses.</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Term of Validity of Lump Sum</w:t>
      </w:r>
    </w:p>
    <w:p>
      <w:pPr>
        <w:widowControl w:val="on"/>
        <w:pBdr/>
        <w:spacing w:before="140" w:after="240" w:line="288" w:lineRule="auto"/>
        <w:ind w:left="0" w:right="0"/>
        <w:jc w:val="left"/>
      </w:pPr>
      <w:r>
        <w:rPr>
          <w:rFonts w:ascii="Arial" w:hAnsi="Arial" w:eastAsia="Arial" w:cs="Arial"/>
          <w:color w:val="277DB9"/>
          <w:sz w:val="20"/>
          <w:szCs w:val="20"/>
        </w:rPr>
        <w:t xml:space="preserve">The lump sum shall remain valid for the duration of … months.
Afterwards, the parties shall mutually fix a new lump sum.</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3: Due Date of Fees</w:t>
      </w:r>
    </w:p>
    <w:p>
      <w:pPr>
        <w:widowControl w:val="on"/>
        <w:pBdr/>
        <w:spacing w:before="140" w:after="240" w:line="288" w:lineRule="auto"/>
        <w:ind w:left="0" w:right="0"/>
        <w:jc w:val="left"/>
      </w:pPr>
      <w:r>
        <w:rPr>
          <w:rFonts w:ascii="Arial" w:hAnsi="Arial" w:eastAsia="Arial" w:cs="Arial"/>
          <w:color w:val="277DB9"/>
          <w:sz w:val="20"/>
          <w:szCs w:val="20"/>
        </w:rPr>
        <w:t xml:space="preserve">The fees are due within one week after receipt of the statement
of fees concerning the preceding calendar month.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Confidentiality and Data
Secrecy</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undertakes to keep secret all facts (incl
personal data) disclosed to the Consultant during the course of
this Consultancy Agreement which concern the Principal and are not
generally known. The Principal shall oblige his personnel to
confidentiality accordingly.</w:t>
      </w:r>
    </w:p>
    <w:p>
      <w:pPr>
        <w:widowControl w:val="on"/>
        <w:pBdr/>
        <w:spacing w:before="140" w:after="240" w:line="288" w:lineRule="auto"/>
        <w:ind w:left="0" w:right="0"/>
        <w:jc w:val="left"/>
      </w:pPr>
      <w:r>
        <w:rPr>
          <w:rFonts w:ascii="Arial" w:hAnsi="Arial" w:eastAsia="Arial" w:cs="Arial"/>
          <w:color w:val="000000"/>
          <w:sz w:val="20"/>
          <w:szCs w:val="20"/>
        </w:rPr>
        <w:t xml:space="preserve">This obligation of confidentiality and data secrecy shall
survive the termination of this Consultancy Agreement.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1: Mutual Obligation of Secrecy: in General</w:t>
      </w:r>
    </w:p>
    <w:p>
      <w:pPr>
        <w:widowControl w:val="on"/>
        <w:pBdr/>
        <w:spacing w:before="140" w:after="240" w:line="288" w:lineRule="auto"/>
        <w:ind w:left="0" w:right="0"/>
        <w:jc w:val="left"/>
      </w:pPr>
      <w:r>
        <w:rPr>
          <w:rFonts w:ascii="Arial" w:hAnsi="Arial" w:eastAsia="Arial" w:cs="Arial"/>
          <w:color w:val="277DB9"/>
          <w:sz w:val="20"/>
          <w:szCs w:val="20"/>
        </w:rPr>
        <w:t xml:space="preserve">The parties shall keep business and trade secrets and personal
data of the other party strictly confidential and shall oblige
their personnel to confidentiality accordingly.</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2: Mutual Obligation of Secrecy: in more Detail</w:t>
      </w:r>
    </w:p>
    <w:p>
      <w:pPr>
        <w:widowControl w:val="on"/>
        <w:pBdr/>
        <w:spacing w:before="140" w:after="240" w:line="288" w:lineRule="auto"/>
        <w:ind w:left="0" w:right="0"/>
        <w:jc w:val="left"/>
      </w:pPr>
      <w:r>
        <w:rPr>
          <w:rFonts w:ascii="Arial" w:hAnsi="Arial" w:eastAsia="Arial" w:cs="Arial"/>
          <w:color w:val="277DB9"/>
          <w:sz w:val="20"/>
          <w:szCs w:val="20"/>
        </w:rPr>
        <w:t xml:space="preserve">Either party undertakes to keep secret all facts (incl personal
data) disclosed to it during the course of this Consultancy
Agreement which concern the other party and are not generally
known. This obligation of secrecy particularly applies to the
consulting tool which the Consultant applies in fulfilment of his
contractual obligation.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Protection of Intellectual
Property</w:t>
      </w:r>
    </w:p>
    <w:p>
      <w:pPr>
        <w:widowControl w:val="on"/>
        <w:pBdr/>
        <w:spacing w:before="140" w:after="240" w:line="288" w:lineRule="auto"/>
        <w:ind w:left="0" w:right="0"/>
        <w:jc w:val="left"/>
      </w:pPr>
      <w:r>
        <w:rPr>
          <w:rFonts w:ascii="Arial" w:hAnsi="Arial" w:eastAsia="Arial" w:cs="Arial"/>
          <w:color w:val="000000"/>
          <w:sz w:val="20"/>
          <w:szCs w:val="20"/>
        </w:rPr>
        <w:t xml:space="preserve">The Principal is granted an unrestricted and unlimited right to
use those works in the sense of the Copyright Act which the
Consultant creates in the course of the Consultancy Agreement. The
Consultant may use these works only for purposes of this contract.
For any other use, he requires the Principal's approval.</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Protection of Intellectual Property</w:t>
      </w:r>
    </w:p>
    <w:p>
      <w:pPr>
        <w:widowControl w:val="on"/>
        <w:pBdr/>
        <w:spacing w:before="140" w:after="240" w:line="288" w:lineRule="auto"/>
        <w:ind w:left="0" w:right="0"/>
        <w:jc w:val="left"/>
      </w:pPr>
      <w:r>
        <w:rPr>
          <w:rFonts w:ascii="Arial" w:hAnsi="Arial" w:eastAsia="Arial" w:cs="Arial"/>
          <w:color w:val="277DB9"/>
          <w:sz w:val="20"/>
          <w:szCs w:val="20"/>
        </w:rPr>
        <w:t xml:space="preserve">The Principal is granted an unrestricted and unlimited right to
use those works in the sense of the Copyright Act which the
Consultant creates in the course of the Consultancy Agreement. The
Consultant may use these works only for purposes of this contract.
For any other use, he requires Principal's approval. The Principal
shall not be granted any rights to the tool which the Consultant
applies in fulfilment of his contractual obligation.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Data Protection</w:t>
      </w:r>
    </w:p>
    <w:p>
      <w:pPr>
        <w:widowControl w:val="on"/>
        <w:pBdr/>
        <w:spacing w:before="140" w:after="240" w:line="288" w:lineRule="auto"/>
        <w:ind w:left="0" w:right="0"/>
        <w:jc w:val="left"/>
      </w:pPr>
      <w:r>
        <w:rPr>
          <w:rFonts w:ascii="Arial" w:hAnsi="Arial" w:eastAsia="Arial" w:cs="Arial"/>
          <w:color w:val="000000"/>
          <w:sz w:val="20"/>
          <w:szCs w:val="20"/>
        </w:rPr>
        <w:t xml:space="preserve">For the avoidance of doubt, it is hereby stated that both the
Principal and the Consultant shall act as independent data
controllers regarding any personal data processed under this
Agreement. However, the Consultant shall not be entitled to process
personal data of the Principal for its own purposes which are not
subject to statutory law. The Consultant and the Principal
undertake to mutually comply with any obligations to provide
information under data protection law pursuant to Art 13 and
Art 14 GDPR.</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Data Processor</w:t>
      </w:r>
    </w:p>
    <w:p>
      <w:pPr>
        <w:widowControl w:val="on"/>
        <w:pBdr/>
        <w:spacing w:before="140" w:after="240" w:line="288" w:lineRule="auto"/>
        <w:ind w:left="0" w:right="0"/>
        <w:jc w:val="left"/>
      </w:pPr>
      <w:r>
        <w:rPr>
          <w:rFonts w:ascii="Arial" w:hAnsi="Arial" w:eastAsia="Arial" w:cs="Arial"/>
          <w:color w:val="277DB9"/>
          <w:sz w:val="20"/>
          <w:szCs w:val="20"/>
        </w:rPr>
        <w:t xml:space="preserve">The Principal shall act as the controller with respect to the
personal data processed under this Agreement. The Consultant serves
as a processor of the Principal and therefore processes the
personal data provided to it only upon documented instruction of
the Principal. The processing of personal data by the Consultant on
behalf of the Principal shall be based on a separate data processor
agreement to be concluded pursuant to Art 28 GDPR.</w:t>
      </w:r>
    </w:p>
    <w:p>
      <w:pPr>
        <w:widowControl w:val="on"/>
        <w:pBdr/>
        <w:spacing w:before="0" w:after="105" w:line="288" w:lineRule="auto"/>
        <w:ind w:left="0" w:right="0"/>
        <w:jc w:val="left"/>
      </w:pPr>
      <w:r>
        <w:rPr>
          <w:rFonts w:ascii="Arial" w:hAnsi="Arial" w:eastAsia="Arial" w:cs="Arial"/>
          <w:b/>
          <w:bCs/>
          <w:color w:val="277DB9"/>
          <w:sz w:val="25"/>
          <w:szCs w:val="25"/>
        </w:rPr>
        <w:t xml:space="preserve">Notice:</w:t>
      </w:r>
    </w:p>
    <w:p>
      <w:pPr>
        <w:widowControl w:val="on"/>
        <w:pBdr/>
        <w:spacing w:before="140" w:after="240" w:line="288" w:lineRule="auto"/>
        <w:ind w:left="0" w:right="0"/>
        <w:jc w:val="left"/>
      </w:pPr>
      <w:r>
        <w:rPr>
          <w:rFonts w:ascii="Arial" w:hAnsi="Arial" w:eastAsia="Arial" w:cs="Arial"/>
          <w:color w:val="277DB9"/>
          <w:sz w:val="20"/>
          <w:szCs w:val="20"/>
        </w:rPr>
        <w:t xml:space="preserve">Consultants may have different roles under data protection law
and therefore act depending on the concrete processing activity as
controllers pursuant to Art 4 No 7 GDPR, or as processors
pursuant to Art 4 No 8 GDPR. Decisive for the respective
classification is the actual activity of the consultant as well as
the related processing activities. The more influence the
contractor has regarding the purposes (the “why” of the processing)
and the means (the “how” of the processing), the more likely it is
to be classified as a data controller.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Warranty and Damages</w:t>
      </w:r>
    </w:p>
    <w:p>
      <w:pPr>
        <w:widowControl w:val="on"/>
        <w:pBdr/>
        <w:spacing w:before="140" w:after="240" w:line="288" w:lineRule="auto"/>
        <w:ind w:left="0" w:right="0"/>
        <w:jc w:val="left"/>
      </w:pPr>
      <w:r>
        <w:rPr>
          <w:rFonts w:ascii="Arial" w:hAnsi="Arial" w:eastAsia="Arial" w:cs="Arial"/>
          <w:color w:val="000000"/>
          <w:sz w:val="20"/>
          <w:szCs w:val="20"/>
        </w:rPr>
        <w:t xml:space="preserve">The Consultant is obliged to remove any incorrectness or
incompleteness of his consulting services upon the Principal's
request. Only if this is not possible or not done within adequate
time, the Principal may demand price reduction. After elapse of …
months from rendering the consultancy services (i.e. after the
meetings or after delivery of the reports, respectively), the
Principal may neither demand removal of such defects nor price
reduction.</w:t>
      </w:r>
    </w:p>
    <w:p>
      <w:pPr>
        <w:widowControl w:val="on"/>
        <w:pBdr/>
        <w:spacing w:before="140" w:after="240" w:line="288" w:lineRule="auto"/>
        <w:ind w:left="0" w:right="0"/>
        <w:jc w:val="left"/>
      </w:pPr>
      <w:r>
        <w:rPr>
          <w:rFonts w:ascii="Arial" w:hAnsi="Arial" w:eastAsia="Arial" w:cs="Arial"/>
          <w:color w:val="000000"/>
          <w:sz w:val="20"/>
          <w:szCs w:val="20"/>
        </w:rPr>
        <w:t xml:space="preserve">For evaluating the consultancy services as to their correctness
and completeness, changes in the general professional standards and
developments in the field of … after rendering the consultancy
services (i.e. after the meetings or after delivery of the reports,
respectively) have to be kept out of consideration.</w:t>
      </w:r>
    </w:p>
    <w:p>
      <w:pPr>
        <w:widowControl w:val="on"/>
        <w:pBdr/>
        <w:spacing w:before="140" w:after="240" w:line="288" w:lineRule="auto"/>
        <w:ind w:left="0" w:right="0"/>
        <w:jc w:val="left"/>
      </w:pPr>
      <w:r>
        <w:rPr>
          <w:rFonts w:ascii="Arial" w:hAnsi="Arial" w:eastAsia="Arial" w:cs="Arial"/>
          <w:color w:val="000000"/>
          <w:sz w:val="20"/>
          <w:szCs w:val="20"/>
        </w:rPr>
        <w:t xml:space="preserve">The Consultant's liability for damages to the Principal is
limited to wilful misconduct or particular gross negligence. The
Consultant’s total liability arising out of or in connection with
this Agreement, regardless of the legal basis of such claim, shall
be limited to the total amount of fees paid by the Principal to the
Consultant under this Agreement during the twelve (12) months
preceding the event giving rise to such claim. This limitation
shall not apply in cases of intent or personal injury.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Term of Contract</w:t>
      </w:r>
    </w:p>
    <w:p>
      <w:pPr>
        <w:widowControl w:val="on"/>
        <w:pBdr/>
        <w:spacing w:before="140" w:after="240" w:line="288" w:lineRule="auto"/>
        <w:ind w:left="0" w:right="0"/>
        <w:jc w:val="left"/>
      </w:pPr>
      <w:r>
        <w:rPr>
          <w:rFonts w:ascii="Arial" w:hAnsi="Arial" w:eastAsia="Arial" w:cs="Arial"/>
          <w:color w:val="000000"/>
          <w:sz w:val="20"/>
          <w:szCs w:val="20"/>
        </w:rPr>
        <w:t xml:space="preserve">The contract enters into force upon signing by both parties and
is concluded for an indefinite period of time. It may be terminated
by registered mail either party with … months' notice with effect
to the end of each calendar year without indication of reasons
by.</w:t>
      </w:r>
    </w:p>
    <w:p>
      <w:pPr>
        <w:widowControl w:val="on"/>
        <w:pBdr/>
        <w:spacing w:before="140" w:after="240" w:line="288" w:lineRule="auto"/>
        <w:ind w:left="0" w:right="0"/>
        <w:jc w:val="left"/>
      </w:pPr>
      <w:r>
        <w:rPr>
          <w:rFonts w:ascii="Arial" w:hAnsi="Arial" w:eastAsia="Arial" w:cs="Arial"/>
          <w:color w:val="000000"/>
          <w:sz w:val="20"/>
          <w:szCs w:val="20"/>
        </w:rPr>
        <w:t xml:space="preserve">Either party may terminate the contract with immediate effect by
registered mail if</w:t>
      </w:r>
    </w:p>
    <w:p>
      <w:pPr>
        <w:numPr>
          <w:ilvl w:val="0"/>
          <w:numId w:val="5806185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other party infringed an essential contractual obligation
and does not cease to do so despite written request within 30
days;</w:t>
      </w:r>
    </w:p>
    <w:p>
      <w:pPr>
        <w:numPr>
          <w:ilvl w:val="0"/>
          <w:numId w:val="5806185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In the case of termination of the contract, the Consultant has
to return to the Principal all documents which are subject to the
obligation of confidentiality in chapter 4. If the termination of
the contract was not the Consultant's fault, he is entitled to
pro-rata fees for the last month of the contractual relationship.
In any other case, the Consultant loses his claim for payment for
this month.</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Term of Contract</w:t>
      </w:r>
    </w:p>
    <w:p>
      <w:pPr>
        <w:widowControl w:val="on"/>
        <w:pBdr/>
        <w:spacing w:before="140" w:after="240" w:line="288" w:lineRule="auto"/>
        <w:ind w:left="0" w:right="0"/>
        <w:jc w:val="left"/>
      </w:pPr>
      <w:r>
        <w:rPr>
          <w:rFonts w:ascii="Arial" w:hAnsi="Arial" w:eastAsia="Arial" w:cs="Arial"/>
          <w:color w:val="277DB9"/>
          <w:sz w:val="20"/>
          <w:szCs w:val="20"/>
        </w:rPr>
        <w:t xml:space="preserve">The contract enters into force on … and ends after … years
without notice of termination.</w:t>
      </w:r>
    </w:p>
    <w:p>
      <w:pPr>
        <w:widowControl w:val="on"/>
        <w:pBdr/>
        <w:spacing w:before="140" w:after="240" w:line="288" w:lineRule="auto"/>
        <w:ind w:left="0" w:right="0"/>
        <w:jc w:val="left"/>
      </w:pPr>
      <w:r>
        <w:rPr>
          <w:rFonts w:ascii="Arial" w:hAnsi="Arial" w:eastAsia="Arial" w:cs="Arial"/>
          <w:color w:val="277DB9"/>
          <w:sz w:val="20"/>
          <w:szCs w:val="20"/>
        </w:rPr>
        <w:t xml:space="preserve">The Consultant receives such part of the lump sum as
consideration, which corresponds to the development of the
report.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VIX. Final Clauses</w:t>
      </w:r>
    </w:p>
    <w:p>
      <w:pPr>
        <w:widowControl w:val="on"/>
        <w:pBdr/>
        <w:spacing w:before="140" w:after="240" w:line="288" w:lineRule="auto"/>
        <w:ind w:left="0" w:right="0"/>
        <w:jc w:val="left"/>
      </w:pPr>
      <w:r>
        <w:rPr>
          <w:rFonts w:ascii="Arial" w:hAnsi="Arial" w:eastAsia="Arial" w:cs="Arial"/>
          <w:color w:val="000000"/>
          <w:sz w:val="20"/>
          <w:szCs w:val="20"/>
        </w:rPr>
        <w:t xml:space="preserve">This contract shall be governed by Austrian Law.</w:t>
      </w:r>
    </w:p>
    <w:p>
      <w:pPr>
        <w:widowControl w:val="on"/>
        <w:pBdr/>
        <w:spacing w:before="140" w:after="240" w:line="288" w:lineRule="auto"/>
        <w:ind w:left="0" w:right="0"/>
        <w:jc w:val="left"/>
      </w:pPr>
      <w:r>
        <w:rPr>
          <w:rFonts w:ascii="Arial" w:hAnsi="Arial" w:eastAsia="Arial" w:cs="Arial"/>
          <w:color w:val="000000"/>
          <w:sz w:val="20"/>
          <w:szCs w:val="20"/>
        </w:rPr>
        <w:t xml:space="preserve">The competent court in Innere Stadt Wien shall have exclusive
jurisdiction.</w:t>
      </w:r>
    </w:p>
    <w:p>
      <w:pPr>
        <w:widowControl w:val="on"/>
        <w:pBdr/>
        <w:spacing w:before="140" w:after="240" w:line="288" w:lineRule="auto"/>
        <w:ind w:left="0" w:right="0"/>
        <w:jc w:val="left"/>
      </w:pPr>
      <w:r>
        <w:rPr>
          <w:rFonts w:ascii="Arial" w:hAnsi="Arial" w:eastAsia="Arial" w:cs="Arial"/>
          <w:color w:val="000000"/>
          <w:sz w:val="20"/>
          <w:szCs w:val="20"/>
        </w:rPr>
        <w:t xml:space="preserve">Should any provision of this contract be or become invalid, the
validity or enforceability of all other provisions shall not be
affected. In this case, the invalid provision is replaced by a
provision consistent with the original intention of the contracting
parties.</w:t>
      </w:r>
    </w:p>
    <w:p>
      <w:pPr>
        <w:widowControl w:val="on"/>
        <w:pBdr/>
        <w:spacing w:before="140" w:after="240" w:line="288" w:lineRule="auto"/>
        <w:ind w:left="0" w:right="0"/>
        <w:jc w:val="left"/>
      </w:pPr>
      <w:r>
        <w:rPr>
          <w:rFonts w:ascii="Arial" w:hAnsi="Arial" w:eastAsia="Arial" w:cs="Arial"/>
          <w:color w:val="000000"/>
          <w:sz w:val="20"/>
          <w:szCs w:val="20"/>
        </w:rPr>
        <w:t xml:space="preserve">Amendments and additions to this Agreement shall only be legally
effective if they are made in writing signed by the contracting
parties or signed by means of an advanced or qualified electronic
signature. This formal requirement shall also apply to any waiver
of this formal requirement.</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Validity of qualified electronic signatures only</w:t>
      </w:r>
    </w:p>
    <w:p>
      <w:pPr>
        <w:widowControl w:val="on"/>
        <w:pBdr/>
        <w:spacing w:before="140" w:after="240" w:line="288" w:lineRule="auto"/>
        <w:ind w:left="0" w:right="0"/>
        <w:jc w:val="left"/>
      </w:pPr>
      <w:r>
        <w:rPr>
          <w:rFonts w:ascii="Arial" w:hAnsi="Arial" w:eastAsia="Arial" w:cs="Arial"/>
          <w:color w:val="277DB9"/>
          <w:sz w:val="20"/>
          <w:szCs w:val="20"/>
        </w:rPr>
        <w:t xml:space="preserve">Amendments and additions to this Agreement shall only be legally
effective if they are made in writing signed by the contracting
parties within the meaning of § 886 ABGB (Austrian Civil Code)
or § 4 (1) Signature and Confidential Services Act (SVG). This
formal requirement shall also apply to a waiver of this requirement
of writing.</w:t>
      </w:r>
    </w:p>
    <w:p>
      <w:pPr>
        <w:widowControl w:val="on"/>
        <w:pBdr/>
        <w:spacing w:before="0" w:after="105" w:line="288" w:lineRule="auto"/>
        <w:ind w:left="0" w:right="0"/>
        <w:jc w:val="left"/>
      </w:pPr>
      <w:r>
        <w:rPr>
          <w:rFonts w:ascii="Arial" w:hAnsi="Arial" w:eastAsia="Arial" w:cs="Arial"/>
          <w:b/>
          <w:bCs/>
          <w:color w:val="277DB9"/>
          <w:sz w:val="25"/>
          <w:szCs w:val="25"/>
        </w:rPr>
        <w:t xml:space="preserve">Notice:</w:t>
      </w:r>
    </w:p>
    <w:p>
      <w:pPr>
        <w:widowControl w:val="on"/>
        <w:pBdr/>
        <w:spacing w:before="140" w:after="240" w:line="288" w:lineRule="auto"/>
        <w:ind w:left="0" w:right="0"/>
        <w:jc w:val="left"/>
      </w:pPr>
      <w:r>
        <w:rPr>
          <w:rFonts w:ascii="Arial" w:hAnsi="Arial" w:eastAsia="Arial" w:cs="Arial"/>
          <w:color w:val="277DB9"/>
          <w:sz w:val="20"/>
          <w:szCs w:val="20"/>
        </w:rPr>
        <w:t xml:space="preserve">In the context of digitalization, an increasing trend towards
electronic signing can be observed. In this context, the Austrian
legislator has clarified in Section 4 (1) of the Signature and
Trust Services Act (SVG) that only a qualified electronic signature
fulfills the legal requirement of written form within the meaning
of Section 886 of the Austrian Civil Code (ABGB). This means that,
in the absence of a clarifying definition, only a qualified
electronic signature fulfills the formal requirement of being in
writing. In view of the fact that such formal requirements mostly
only serve to exclude the validity of mere declarations of intent
(verbal or as e-mail), there are no recognizable reasons why an
advanced electronic signature should not also be permissible.</w:t>
      </w:r>
    </w:p>
    <w:p>
      <w:pPr>
        <w:widowControl w:val="on"/>
        <w:pBdr/>
        <w:spacing w:before="140" w:after="240" w:line="288" w:lineRule="auto"/>
        <w:ind w:left="0" w:right="0"/>
        <w:jc w:val="left"/>
      </w:pPr>
      <w:r>
        <w:rPr>
          <w:rFonts w:ascii="Arial" w:hAnsi="Arial" w:eastAsia="Arial" w:cs="Arial"/>
          <w:color w:val="000000"/>
          <w:sz w:val="20"/>
          <w:szCs w:val="20"/>
        </w:rPr>
        <w:t xml:space="preserve">This contract is executed in two counterparts, each party
receiving one. This Agreement is executed in the English language.
In the event of any translation into another language, the English
version shall prevail. All correspondence, notices, and
documentation under this Agreement shall be in English.</w:t>
      </w:r>
    </w:p>
    <w:p>
      <w:pPr>
        <w:widowControl w:val="on"/>
        <w:pBdr/>
        <w:spacing w:before="140" w:after="240" w:line="288" w:lineRule="auto"/>
        <w:ind w:left="0" w:right="0"/>
        <w:jc w:val="left"/>
      </w:pPr>
      <w:r>
        <w:rPr>
          <w:rFonts w:ascii="Arial" w:hAnsi="Arial" w:eastAsia="Arial" w:cs="Arial"/>
          <w:color w:val="000000"/>
          <w:sz w:val="20"/>
          <w:szCs w:val="20"/>
        </w:rPr>
        <w:t xml:space="preserve">All costs and duties connected with the execution of this
agreement are borne by …</w:t>
      </w:r>
    </w:p>
    <w:p>
      <w:pPr>
        <w:widowControl w:val="on"/>
        <w:pBdr/>
        <w:spacing w:before="0" w:after="105" w:line="288" w:lineRule="auto"/>
        <w:ind w:left="0" w:right="0"/>
        <w:jc w:val="left"/>
      </w:pPr>
      <w:r>
        <w:rPr>
          <w:rFonts w:ascii="Arial" w:hAnsi="Arial" w:eastAsia="Arial" w:cs="Arial"/>
          <w:b/>
          <w:bCs/>
          <w:color w:val="277DB9"/>
          <w:sz w:val="25"/>
          <w:szCs w:val="25"/>
        </w:rPr>
        <w:t xml:space="preserve">Variation: Arbitration</w:t>
      </w:r>
    </w:p>
    <w:p>
      <w:pPr>
        <w:widowControl w:val="on"/>
        <w:pBdr/>
        <w:spacing w:before="140" w:after="240" w:line="288" w:lineRule="auto"/>
        <w:ind w:left="0" w:right="0"/>
        <w:jc w:val="left"/>
      </w:pPr>
      <w:r>
        <w:rPr>
          <w:rFonts w:ascii="Arial" w:hAnsi="Arial" w:eastAsia="Arial" w:cs="Arial"/>
          <w:color w:val="277DB9"/>
          <w:sz w:val="20"/>
          <w:szCs w:val="20"/>
        </w:rPr>
        <w:t xml:space="preserve">All disputes arising out of this contract or related to its
violation, termination or nullity shall be finally settled under
the Rules of Arbitration and Conciliation of the International
Arbitral Centre of the Austrian Federal Economic Chamber in Vienna
(Vienna Rules) by one or more arbitrators appointed in accordance
with these Rules.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60968" w:name="note1"/>
            <w:bookmarkEnd w:id="7860968"/>
            <w:bookmarkStart w:id="6283141650061" w:name="note1"/>
            <w:r>
              <w:rPr>
                <w:rFonts w:ascii="Arial" w:hAnsi="Arial" w:eastAsia="Arial" w:cs="Arial"/>
                <w:b/>
                <w:bCs/>
                <w:color w:val="000000"/>
                <w:position w:val="0"/>
                <w:sz w:val="20"/>
                <w:szCs w:val="20"/>
              </w:rPr>
              <w:t xml:space="preserve">[1]</w:t>
            </w:r>
            <w:bookmarkEnd w:id="628314165006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Selbstständigkeit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Consultant ist in der Regel kein Arbeitnehmer, sondern
selbstständig tätig. Er unterliegt keiner Weisungsgebundenheit,
keiner organisatorischen Eingliederung und keinem
arbeitsrechtlichen Schutz. Damit wird verhindert, dass ein
Scheinselbstständigkeitsverhältnis entsteht, das zu rückwirkender
Sozialversicherungspflicht nach dem ASVG führen könnte. Der Vertrag
sollte daher klarstellen, dass der Consultant seine Tätigkeit frei
gestaltet, eigene Arbeitsmittel verwendet und mehrere Auftraggeber
gleichzeitig betreuen darf. Diese Punkte sind auch aus
steuerrechtlicher Sicht von Bedeutung.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222018" w:name="note2"/>
            <w:bookmarkEnd w:id="59222018"/>
            <w:bookmarkStart w:id="4660736760744" w:name="note2"/>
            <w:r>
              <w:rPr>
                <w:rFonts w:ascii="Arial" w:hAnsi="Arial" w:eastAsia="Arial" w:cs="Arial"/>
                <w:b/>
                <w:bCs/>
                <w:color w:val="000000"/>
                <w:position w:val="0"/>
                <w:sz w:val="20"/>
                <w:szCs w:val="20"/>
              </w:rPr>
              <w:t xml:space="preserve">[2]</w:t>
            </w:r>
            <w:bookmarkEnd w:id="466073676074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Honorarvereinbarung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Vergütungsregelung in Consultancy Agreements folgt dem
Grundsatz der freien Vereinbarung (§ 1152 ABGB). Üblich sind
entweder Pauschalhonorare, Zeitvergütungen oder erfolgsbezogene
Honorare. Wichtig ist, dass die Fälligkeit klar geregelt ist (zB
monatlich im Nachhinein) und Verzugszinsen bei verspäteter Zahlung
automatisch entstehen (§ 1333 ABGB). Wird die Beratung
aufgrund von Umständen aus der Sphäre des Principals nicht
erbracht, behält der Consultant dennoch seinen Honoraranspruch. Bei
langfristigen Verträgen sollten Anpassungsklauseln (Indexierung,
Neubemessung) vorgesehen werden, um eine faire Vergütung zu
sichern.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063715" w:name="note3"/>
            <w:bookmarkEnd w:id="33063715"/>
            <w:bookmarkStart w:id="2301580835375" w:name="note3"/>
            <w:r>
              <w:rPr>
                <w:rFonts w:ascii="Arial" w:hAnsi="Arial" w:eastAsia="Arial" w:cs="Arial"/>
                <w:b/>
                <w:bCs/>
                <w:color w:val="000000"/>
                <w:position w:val="0"/>
                <w:sz w:val="20"/>
                <w:szCs w:val="20"/>
              </w:rPr>
              <w:t xml:space="preserve">[3]</w:t>
            </w:r>
            <w:bookmarkEnd w:id="230158083537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Geheimhaltung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Confidentiality-Klauseln sind im Consultancy Agreement von
zentraler Bedeutung. Sie schützen Betriebs- und
Geschäftsgeheimnisse sowie personenbezogene Daten. Die
Verpflichtung gilt während und nach Beendigung des Vertrags und
muss auch für Mitarbeiter und Subunternehmer gelten. Verstöße
können Schadenersatzansprüche begründen und nach dem Gesetz gegen
unlauteren Wettbewerb (UWG) strafbar sein. In der Praxis empfiehlt
sich, die Dauer der Geheimhaltungspflicht unbegrenzt festzulegen
und auch elektronische Kopien, Daten und Backups ausdrücklich zu
erfassen.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9125406" w:name="note4"/>
            <w:bookmarkEnd w:id="69125406"/>
            <w:bookmarkStart w:id="3537574316942" w:name="note4"/>
            <w:r>
              <w:rPr>
                <w:rFonts w:ascii="Arial" w:hAnsi="Arial" w:eastAsia="Arial" w:cs="Arial"/>
                <w:b/>
                <w:bCs/>
                <w:color w:val="000000"/>
                <w:position w:val="0"/>
                <w:sz w:val="20"/>
                <w:szCs w:val="20"/>
              </w:rPr>
              <w:t xml:space="preserve">[4]</w:t>
            </w:r>
            <w:bookmarkEnd w:id="353757431694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Datenschutz</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Beratungsleistungen regelmäßig die Verarbeitung
personenbezogener Daten umfassen, muss vertraglich klargestellt
werden, ob der Consultant als data controller (Verantwortlicher)
oder als data processor (Auftragsverarbeiter) tätig ist. Diese
Unterscheidung richtet sich nach Art 4 Z 7 und Z 8
DSGVO. Handelt der Consultant im Auftrag des Principals, ist ein
Data Processing Agreement nach Art 28 DSGVO verpflichtend.
Beide Parteien müssen zudem ihre Informationspflichten nach
Art 13 und 14 DSGVO erfüllen und geeignete technische und
organisatorische Schutzmaßnahmen nachweisen.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061852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5550212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6768934">
    <w:multiLevelType w:val="hybridMultilevel"/>
    <w:lvl w:ilvl="0" w:tplc="68516067">
      <w:start w:val="1"/>
      <w:numFmt w:val="decimal"/>
      <w:lvlText w:val="%1."/>
      <w:lvlJc w:val="left"/>
      <w:pPr>
        <w:ind w:left="720" w:hanging="360"/>
      </w:pPr>
    </w:lvl>
    <w:lvl w:ilvl="1" w:tplc="68516067" w:tentative="1">
      <w:start w:val="1"/>
      <w:numFmt w:val="lowerLetter"/>
      <w:lvlText w:val="%2."/>
      <w:lvlJc w:val="left"/>
      <w:pPr>
        <w:ind w:left="1440" w:hanging="360"/>
      </w:pPr>
    </w:lvl>
    <w:lvl w:ilvl="2" w:tplc="68516067" w:tentative="1">
      <w:start w:val="1"/>
      <w:numFmt w:val="lowerRoman"/>
      <w:lvlText w:val="%3."/>
      <w:lvlJc w:val="right"/>
      <w:pPr>
        <w:ind w:left="2160" w:hanging="180"/>
      </w:pPr>
    </w:lvl>
    <w:lvl w:ilvl="3" w:tplc="68516067" w:tentative="1">
      <w:start w:val="1"/>
      <w:numFmt w:val="decimal"/>
      <w:lvlText w:val="%4."/>
      <w:lvlJc w:val="left"/>
      <w:pPr>
        <w:ind w:left="2880" w:hanging="360"/>
      </w:pPr>
    </w:lvl>
    <w:lvl w:ilvl="4" w:tplc="68516067" w:tentative="1">
      <w:start w:val="1"/>
      <w:numFmt w:val="lowerLetter"/>
      <w:lvlText w:val="%5."/>
      <w:lvlJc w:val="left"/>
      <w:pPr>
        <w:ind w:left="3600" w:hanging="360"/>
      </w:pPr>
    </w:lvl>
    <w:lvl w:ilvl="5" w:tplc="68516067" w:tentative="1">
      <w:start w:val="1"/>
      <w:numFmt w:val="lowerRoman"/>
      <w:lvlText w:val="%6."/>
      <w:lvlJc w:val="right"/>
      <w:pPr>
        <w:ind w:left="4320" w:hanging="180"/>
      </w:pPr>
    </w:lvl>
    <w:lvl w:ilvl="6" w:tplc="68516067" w:tentative="1">
      <w:start w:val="1"/>
      <w:numFmt w:val="decimal"/>
      <w:lvlText w:val="%7."/>
      <w:lvlJc w:val="left"/>
      <w:pPr>
        <w:ind w:left="5040" w:hanging="360"/>
      </w:pPr>
    </w:lvl>
    <w:lvl w:ilvl="7" w:tplc="68516067" w:tentative="1">
      <w:start w:val="1"/>
      <w:numFmt w:val="lowerLetter"/>
      <w:lvlText w:val="%8."/>
      <w:lvlJc w:val="left"/>
      <w:pPr>
        <w:ind w:left="5760" w:hanging="360"/>
      </w:pPr>
    </w:lvl>
    <w:lvl w:ilvl="8" w:tplc="68516067" w:tentative="1">
      <w:start w:val="1"/>
      <w:numFmt w:val="lowerRoman"/>
      <w:lvlText w:val="%9."/>
      <w:lvlJc w:val="right"/>
      <w:pPr>
        <w:ind w:left="6480" w:hanging="180"/>
      </w:pPr>
    </w:lvl>
  </w:abstractNum>
  <w:abstractNum w:abstractNumId="66768933">
    <w:multiLevelType w:val="hybridMultilevel"/>
    <w:lvl w:ilvl="0" w:tplc="253121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768933">
    <w:abstractNumId w:val="66768933"/>
  </w:num>
  <w:num w:numId="66768934">
    <w:abstractNumId w:val="66768934"/>
  </w:num>
  <w:num w:numId="355502128">
    <w:abstractNumId w:val="355502128"/>
  </w:num>
  <w:num w:numId="580618521">
    <w:abstractNumId w:val="5806185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11304764" Type="http://schemas.openxmlformats.org/officeDocument/2006/relationships/numbering" Target="numbering.xml"/><Relationship Id="rId94472446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