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32292229" w:name="document"/>
    <w:bookmarkEnd w:id="32292229"/>
    <w:p/>
    <w:p>
      <w:pPr>
        <w:widowControl w:val="on"/>
        <w:pBdr/>
        <w:spacing w:before="0" w:after="280" w:line="240" w:lineRule="auto"/>
        <w:ind w:left="0" w:right="0"/>
        <w:jc w:val="left"/>
      </w:pPr>
      <w:r>
        <w:rPr>
          <w:rFonts w:ascii="Arial" w:hAnsi="Arial" w:eastAsia="Arial" w:cs="Arial"/>
          <w:color w:val="363A40"/>
          <w:sz w:val="24"/>
          <w:szCs w:val="24"/>
        </w:rPr>
        <w:t xml:space="preserve">Dokument-ID: 738206 | Wolfgang Steinberger -
Albert Scherzer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Standard-Software-Kaufvertrag</w:t>
      </w:r>
    </w:p>
    <w:p>
      <w:pPr>
        <w:widowControl w:val="on"/>
        <w:pBdr/>
        <w:spacing w:before="140" w:after="240" w:line="288" w:lineRule="auto"/>
        <w:ind w:left="0" w:right="0"/>
        <w:jc w:val="left"/>
      </w:pPr>
      <w:r>
        <w:rPr>
          <w:rFonts w:ascii="Arial" w:hAnsi="Arial" w:eastAsia="Arial" w:cs="Arial"/>
          <w:color w:val="000000"/>
          <w:sz w:val="20"/>
          <w:szCs w:val="20"/>
        </w:rPr>
        <w:t xml:space="preserve">abgeschlossen zwischen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im Folgenden „Verkäufer“ genannt,</w:t>
      </w:r>
    </w:p>
    <w:p>
      <w:pPr>
        <w:widowControl w:val="on"/>
        <w:pBdr/>
        <w:spacing w:before="140" w:after="240" w:line="288" w:lineRule="auto"/>
        <w:ind w:left="0" w:right="0"/>
        <w:jc w:val="left"/>
      </w:pPr>
      <w:r>
        <w:rPr>
          <w:rFonts w:ascii="Arial" w:hAnsi="Arial" w:eastAsia="Arial" w:cs="Arial"/>
          <w:color w:val="000000"/>
          <w:sz w:val="20"/>
          <w:szCs w:val="20"/>
        </w:rPr>
        <w:t xml:space="preserve">und</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im Folgenden „Käufer“ genannt,</w:t>
      </w:r>
    </w:p>
    <w:p>
      <w:pPr>
        <w:widowControl w:val="on"/>
        <w:pBdr/>
        <w:spacing w:before="140" w:after="240" w:line="288" w:lineRule="auto"/>
        <w:ind w:left="0" w:right="0"/>
        <w:jc w:val="left"/>
      </w:pPr>
      <w:r>
        <w:rPr>
          <w:rFonts w:ascii="Arial" w:hAnsi="Arial" w:eastAsia="Arial" w:cs="Arial"/>
          <w:color w:val="000000"/>
          <w:sz w:val="20"/>
          <w:szCs w:val="20"/>
        </w:rPr>
        <w:t xml:space="preserve">wie folgt:</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I. Vertragsgegenstand</w:t>
      </w:r>
    </w:p>
    <w:p>
      <w:pPr>
        <w:widowControl w:val="on"/>
        <w:pBdr/>
        <w:spacing w:before="140" w:after="240" w:line="288" w:lineRule="auto"/>
        <w:ind w:left="0" w:right="0"/>
        <w:jc w:val="left"/>
      </w:pPr>
      <w:r>
        <w:rPr>
          <w:rFonts w:ascii="Arial" w:hAnsi="Arial" w:eastAsia="Arial" w:cs="Arial"/>
          <w:color w:val="000000"/>
          <w:sz w:val="20"/>
          <w:szCs w:val="20"/>
        </w:rPr>
        <w:t xml:space="preserve">Gegenstand dieses Vertrages ist die Überlassung einer Kopie der
Software … nebst Benutzerhandbuch durch den Verkäufer an den
Käufer.</w:t>
      </w:r>
    </w:p>
    <w:p>
      <w:pPr>
        <w:widowControl w:val="on"/>
        <w:pBdr/>
        <w:spacing w:before="140" w:after="240" w:line="288" w:lineRule="auto"/>
        <w:ind w:left="0" w:right="0"/>
        <w:jc w:val="left"/>
      </w:pPr>
      <w:r>
        <w:rPr>
          <w:rFonts w:ascii="Arial" w:hAnsi="Arial" w:eastAsia="Arial" w:cs="Arial"/>
          <w:color w:val="000000"/>
          <w:sz w:val="20"/>
          <w:szCs w:val="20"/>
        </w:rPr>
        <w:t xml:space="preserve">Die Installation und die Wartung der vertragsgegenständlichen
Software auf der Hardware des Käufers ist nicht Gegenstand dieses
Vertrages. Der Verkäufer übernimmt keinerlei Verantwortung für die
korrekte Einrichtung bzw Installation durch den Käufer selbst oder
durch Dritte.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Pflichten des Verkäufers</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Variante 1:</w:t>
      </w:r>
    </w:p>
    <w:p>
      <w:pPr>
        <w:widowControl w:val="on"/>
        <w:pBdr/>
        <w:spacing w:before="140" w:after="240" w:line="288" w:lineRule="auto"/>
        <w:ind w:left="0" w:right="0"/>
        <w:jc w:val="left"/>
      </w:pPr>
      <w:r>
        <w:rPr>
          <w:rFonts w:ascii="Arial" w:hAnsi="Arial" w:eastAsia="Arial" w:cs="Arial"/>
          <w:color w:val="277DB9"/>
          <w:sz w:val="20"/>
          <w:szCs w:val="20"/>
        </w:rPr>
        <w:t xml:space="preserve">Der Verkäufer verkauft dem Käufer eine Kopie der
vertragsgegenständlichen Software gemäß Punkt I. dieses Vertrages,
die sich auf einer DVD (oder einem ähnlichen Datenträger)
befindet.</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Variante 2:</w:t>
      </w:r>
    </w:p>
    <w:p>
      <w:pPr>
        <w:widowControl w:val="on"/>
        <w:pBdr/>
        <w:spacing w:before="140" w:after="240" w:line="288" w:lineRule="auto"/>
        <w:ind w:left="0" w:right="0"/>
        <w:jc w:val="left"/>
      </w:pPr>
      <w:r>
        <w:rPr>
          <w:rFonts w:ascii="Arial" w:hAnsi="Arial" w:eastAsia="Arial" w:cs="Arial"/>
          <w:color w:val="277DB9"/>
          <w:sz w:val="20"/>
          <w:szCs w:val="20"/>
        </w:rPr>
        <w:t xml:space="preserve">Der Verkäufer verkauft dem Käufer eine Kopie der
vertragsgegenständlichen Software gemäß Punkt I. dieses Vertrages,
welche der Verkäufer dem Käufer unter der Internetadresse: http://…
bzw Plattform zum Download bereithält.</w:t>
      </w:r>
    </w:p>
    <w:p>
      <w:pPr>
        <w:widowControl w:val="on"/>
        <w:pBdr/>
        <w:spacing w:before="140" w:after="240" w:line="288" w:lineRule="auto"/>
        <w:ind w:left="0" w:right="0"/>
        <w:jc w:val="left"/>
      </w:pPr>
      <w:r>
        <w:rPr>
          <w:rFonts w:ascii="Arial" w:hAnsi="Arial" w:eastAsia="Arial" w:cs="Arial"/>
          <w:color w:val="277DB9"/>
          <w:sz w:val="20"/>
          <w:szCs w:val="20"/>
        </w:rPr>
        <w:t xml:space="preserve">Das Benutzerhandbuch zu der vertragsgegenständlichen Software
gemäß Punkt I. dieses Vertrages ist ebenfalls Bestandteil des
Kaufgegenstandes.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 </w:t>
      </w:r>
      <w:r>
        <w:rPr>
          <w:rFonts w:ascii="Arial" w:hAnsi="Arial" w:eastAsia="Arial" w:cs="Arial"/>
          <w:b/>
          <w:bCs/>
          <w:color w:val="363A40"/>
          <w:sz w:val="28"/>
          <w:szCs w:val="28"/>
        </w:rPr>
        <w:t xml:space="preserve">Nutzungsrechte</w:t>
      </w:r>
      <w:bookmarkStart w:id="35723345" w:name="link1"/>
      <w:bookmarkEnd w:id="35723345"/>
      <w:hyperlink w:anchor="note1" w:history="1">
        <w:r>
          <w:rPr>
            <w:rFonts w:ascii="Arial" w:hAnsi="Arial" w:eastAsia="Arial" w:cs="Arial"/>
            <w:b/>
            <w:bCs/>
            <w:color w:val="006BB6"/>
            <w:position w:val="6"/>
            <w:sz w:val="31"/>
            <w:szCs w:val="31"/>
            <w:vertAlign w:val="superscript"/>
          </w:rPr>
          <w:t xml:space="preserve">1</w:t>
        </w:r>
      </w:hyperlink>
    </w:p>
    <w:p>
      <w:pPr>
        <w:widowControl w:val="on"/>
        <w:pBdr/>
        <w:spacing w:before="140" w:after="240" w:line="288" w:lineRule="auto"/>
        <w:ind w:left="0" w:right="0"/>
        <w:jc w:val="left"/>
      </w:pPr>
      <w:r>
        <w:rPr>
          <w:rFonts w:ascii="Arial" w:hAnsi="Arial" w:eastAsia="Arial" w:cs="Arial"/>
          <w:color w:val="000000"/>
          <w:sz w:val="20"/>
          <w:szCs w:val="20"/>
        </w:rPr>
        <w:t xml:space="preserve">Der Käufer ist berechtigt, die Software zu vervielfältigen,
soweit die jeweilige Vervielfältigung für die Benutzung des
Programms notwendig ist. Zu den notwendigen Vervielfältigungen
zählen grundsätzlich nur die Installationen des Programms vom
Original-Datenträger auf die Festplatte des Käufers sowie das
jeweilige Laden in den Arbeitsspeicher der Hardware des Käufers
sowie alle anderen ephemeren Vervielfältigungen aufgrund technisch
für die Installation bzw den Betrieb zwingend notwendiger
Prozesse.</w:t>
      </w:r>
    </w:p>
    <w:p>
      <w:pPr>
        <w:widowControl w:val="on"/>
        <w:pBdr/>
        <w:spacing w:before="140" w:after="240" w:line="288" w:lineRule="auto"/>
        <w:ind w:left="0" w:right="0"/>
        <w:jc w:val="left"/>
      </w:pPr>
      <w:r>
        <w:rPr>
          <w:rFonts w:ascii="Arial" w:hAnsi="Arial" w:eastAsia="Arial" w:cs="Arial"/>
          <w:color w:val="000000"/>
          <w:sz w:val="20"/>
          <w:szCs w:val="20"/>
        </w:rPr>
        <w:t xml:space="preserve">Die Anfertigung einer Sicherungskopie durch den Käufer ist
ebenfalls nach dem durch das Urheberrechtsgesetz festgelegten
Rahmen zulässig.</w:t>
      </w:r>
    </w:p>
    <w:p>
      <w:pPr>
        <w:widowControl w:val="on"/>
        <w:pBdr/>
        <w:spacing w:before="140" w:after="240" w:line="288" w:lineRule="auto"/>
        <w:ind w:left="0" w:right="0"/>
        <w:jc w:val="left"/>
      </w:pPr>
      <w:r>
        <w:rPr>
          <w:rFonts w:ascii="Arial" w:hAnsi="Arial" w:eastAsia="Arial" w:cs="Arial"/>
          <w:color w:val="000000"/>
          <w:sz w:val="20"/>
          <w:szCs w:val="20"/>
        </w:rPr>
        <w:t xml:space="preserve">Unzulässig ist der Einsatz der Software in einem Netzwerk des
Käufers in einer Weise, die es ermöglicht, dass mehrere Mitarbeiter
des Käufers zeitgleich mit der Software arbeiten. Insbesondere die
Nutzung mittels Terminal-Lösungen ist untersagt.</w:t>
      </w:r>
    </w:p>
    <w:p>
      <w:pPr>
        <w:widowControl w:val="on"/>
        <w:pBdr/>
        <w:spacing w:before="140" w:after="240" w:line="288" w:lineRule="auto"/>
        <w:ind w:left="0" w:right="0"/>
        <w:jc w:val="left"/>
      </w:pPr>
      <w:r>
        <w:rPr>
          <w:rFonts w:ascii="Arial" w:hAnsi="Arial" w:eastAsia="Arial" w:cs="Arial"/>
          <w:color w:val="000000"/>
          <w:sz w:val="20"/>
          <w:szCs w:val="20"/>
        </w:rPr>
        <w:t xml:space="preserve">Der Käufer ist berechtigt, die vertragsgegenständliche Software
auf jeder ihm zur Verfügung stehenden Hardware einzusetzen. Sofern
der Käufer die eingesetzte Hardware wechseln möchte, ist er
verpflichtet, die Software von der bisher benutzten Hardware zu
entfernen. Unzulässig ist der Einsatz der Software auf mehreren
Hardwaresystemen des Käufers zur gleichen Zeit.</w:t>
      </w:r>
    </w:p>
    <w:p>
      <w:pPr>
        <w:widowControl w:val="on"/>
        <w:pBdr/>
        <w:spacing w:before="140" w:after="240" w:line="288" w:lineRule="auto"/>
        <w:ind w:left="0" w:right="0"/>
        <w:jc w:val="left"/>
      </w:pPr>
      <w:r>
        <w:rPr>
          <w:rFonts w:ascii="Arial" w:hAnsi="Arial" w:eastAsia="Arial" w:cs="Arial"/>
          <w:color w:val="000000"/>
          <w:sz w:val="20"/>
          <w:szCs w:val="20"/>
        </w:rPr>
        <w:t xml:space="preserve">Der Käufer ist im Fall der Weitergabe der Software verpflichtet,
dem Verkäufer Namen und vollständige Anschrift des Dritten in
Schriftform mitzuteilen.</w:t>
      </w:r>
    </w:p>
    <w:p>
      <w:pPr>
        <w:widowControl w:val="on"/>
        <w:pBdr/>
        <w:spacing w:before="140" w:after="240" w:line="288" w:lineRule="auto"/>
        <w:ind w:left="0" w:right="0"/>
        <w:jc w:val="left"/>
      </w:pPr>
      <w:r>
        <w:rPr>
          <w:rFonts w:ascii="Arial" w:hAnsi="Arial" w:eastAsia="Arial" w:cs="Arial"/>
          <w:color w:val="000000"/>
          <w:sz w:val="20"/>
          <w:szCs w:val="20"/>
        </w:rPr>
        <w:t xml:space="preserve">Das Recht zur Weitergabe der Software an Dritte ist
ausgeschlossen, wenn der begründete Verdacht besteht, der Dritte
werde diese Vertragsbedingungen oder die Urheberrechte des
Verkäufers verletzen.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IV. Pflichten des </w:t>
      </w:r>
      <w:r>
        <w:rPr>
          <w:rFonts w:ascii="Arial" w:hAnsi="Arial" w:eastAsia="Arial" w:cs="Arial"/>
          <w:b/>
          <w:bCs/>
          <w:color w:val="363A40"/>
          <w:sz w:val="28"/>
          <w:szCs w:val="28"/>
        </w:rPr>
        <w:t xml:space="preserve">Käufers</w:t>
      </w:r>
      <w:bookmarkStart w:id="33442751" w:name="link2"/>
      <w:bookmarkEnd w:id="33442751"/>
      <w:hyperlink w:anchor="note2" w:history="1">
        <w:r>
          <w:rPr>
            <w:rFonts w:ascii="Arial" w:hAnsi="Arial" w:eastAsia="Arial" w:cs="Arial"/>
            <w:b/>
            <w:bCs/>
            <w:color w:val="006BB6"/>
            <w:position w:val="6"/>
            <w:sz w:val="31"/>
            <w:szCs w:val="31"/>
            <w:vertAlign w:val="superscript"/>
          </w:rPr>
          <w:t xml:space="preserve">2</w:t>
        </w:r>
      </w:hyperlink>
    </w:p>
    <w:p>
      <w:pPr>
        <w:widowControl w:val="on"/>
        <w:pBdr/>
        <w:spacing w:before="140" w:after="240" w:line="288" w:lineRule="auto"/>
        <w:ind w:left="0" w:right="0"/>
        <w:jc w:val="left"/>
      </w:pPr>
      <w:r>
        <w:rPr>
          <w:rFonts w:ascii="Arial" w:hAnsi="Arial" w:eastAsia="Arial" w:cs="Arial"/>
          <w:color w:val="000000"/>
          <w:sz w:val="20"/>
          <w:szCs w:val="20"/>
        </w:rPr>
        <w:t xml:space="preserve">Der Käufer ist verpflichtet, den unbefugten Zugriff auf die
Software durch Dritte durch geeignete Vorkehrungen zu verhindern.
Originaldatenträger und Sicherungskopien sind an einem gegen den
unberechtigten Zugriff Dritter gesicherten Ort aufzubewahren. Die
Mitarbeiter des Käufers sind über die Bedingungen dieses Vertrages
und die Urheberrechte des Verkäufers zu belehren.</w:t>
      </w:r>
    </w:p>
    <w:p>
      <w:pPr>
        <w:widowControl w:val="on"/>
        <w:pBdr/>
        <w:spacing w:before="140" w:after="240" w:line="288" w:lineRule="auto"/>
        <w:ind w:left="0" w:right="0"/>
        <w:jc w:val="left"/>
      </w:pPr>
      <w:r>
        <w:rPr>
          <w:rFonts w:ascii="Arial" w:hAnsi="Arial" w:eastAsia="Arial" w:cs="Arial"/>
          <w:color w:val="000000"/>
          <w:sz w:val="20"/>
          <w:szCs w:val="20"/>
        </w:rPr>
        <w:t xml:space="preserve">Der Käufer ist verpflichtet, jede Änderung der Software zu
unterlassen, soweit dies nicht der Mängelbehebung der Software
dient und der Verkäufer mit der Mängelbehebung im Verzug ist und
davon in Kenntnis gesetzt wurde.</w:t>
      </w:r>
    </w:p>
    <w:p>
      <w:pPr>
        <w:widowControl w:val="on"/>
        <w:pBdr/>
        <w:spacing w:before="140" w:after="240" w:line="288" w:lineRule="auto"/>
        <w:ind w:left="0" w:right="0"/>
        <w:jc w:val="left"/>
      </w:pPr>
      <w:r>
        <w:rPr>
          <w:rFonts w:ascii="Arial" w:hAnsi="Arial" w:eastAsia="Arial" w:cs="Arial"/>
          <w:color w:val="000000"/>
          <w:sz w:val="20"/>
          <w:szCs w:val="20"/>
        </w:rPr>
        <w:t xml:space="preserve">Der Käufer ist ferner verpflichtet, die Rückübersetzung des
überlassenen Programms in andere Codeformen (Dekompilierung) sofern
diese nicht gesetzlich, insbesondere nach § 40e UrhG, explizit
zulässig sind, zu unterlassen.</w:t>
      </w:r>
    </w:p>
    <w:p>
      <w:pPr>
        <w:widowControl w:val="on"/>
        <w:pBdr/>
        <w:spacing w:before="140" w:after="240" w:line="288" w:lineRule="auto"/>
        <w:ind w:left="0" w:right="0"/>
        <w:jc w:val="left"/>
      </w:pPr>
      <w:r>
        <w:rPr>
          <w:rFonts w:ascii="Arial" w:hAnsi="Arial" w:eastAsia="Arial" w:cs="Arial"/>
          <w:color w:val="000000"/>
          <w:sz w:val="20"/>
          <w:szCs w:val="20"/>
        </w:rPr>
        <w:t xml:space="preserve">Dem Käufer ist es untersagt, Merkmale, die der Kenntlichmachung
der Urheberschaft des Verkäufers oder der Verhinderung der
Herstellung von Raubkopien dienen, zu entfernen.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 Untersuchungs- und </w:t>
      </w:r>
      <w:r>
        <w:rPr>
          <w:rFonts w:ascii="Arial" w:hAnsi="Arial" w:eastAsia="Arial" w:cs="Arial"/>
          <w:b/>
          <w:bCs/>
          <w:color w:val="363A40"/>
          <w:sz w:val="28"/>
          <w:szCs w:val="28"/>
        </w:rPr>
        <w:t xml:space="preserve">Rügepflicht</w:t>
      </w:r>
      <w:bookmarkStart w:id="37712941" w:name="link3"/>
      <w:bookmarkEnd w:id="37712941"/>
      <w:hyperlink w:anchor="note3" w:history="1">
        <w:r>
          <w:rPr>
            <w:rFonts w:ascii="Arial" w:hAnsi="Arial" w:eastAsia="Arial" w:cs="Arial"/>
            <w:b/>
            <w:bCs/>
            <w:color w:val="006BB6"/>
            <w:position w:val="6"/>
            <w:sz w:val="31"/>
            <w:szCs w:val="31"/>
            <w:vertAlign w:val="superscript"/>
          </w:rPr>
          <w:t xml:space="preserve">3</w:t>
        </w:r>
      </w:hyperlink>
    </w:p>
    <w:p>
      <w:pPr>
        <w:widowControl w:val="on"/>
        <w:pBdr/>
        <w:spacing w:before="140" w:after="240" w:line="288" w:lineRule="auto"/>
        <w:ind w:left="0" w:right="0"/>
        <w:jc w:val="left"/>
      </w:pPr>
      <w:r>
        <w:rPr>
          <w:rFonts w:ascii="Arial" w:hAnsi="Arial" w:eastAsia="Arial" w:cs="Arial"/>
          <w:color w:val="000000"/>
          <w:sz w:val="20"/>
          <w:szCs w:val="20"/>
        </w:rPr>
        <w:t xml:space="preserve">Der Käufer wird die gelieferte Software einschließlich des
Benutzerhandbuchs innerhalb von zwei Wochen nach Lieferung
untersuchen. Dies gilt insbesondere im Hinblick auf die
Vollständigkeit der Software und des Benutzerhandbuchs sowie der
Funktionsfähigkeit grundlegender Programmfunktionen. Mängel, die
hiebei festgestellt werden oder ohne Weiteres feststellbar sind,
müssen dem Verkäufer innerhalb einer weiteren Woche in Schriftform
mitgeteilt werden. Der Mangel ist detailliert zu spezifizieren.</w:t>
      </w:r>
    </w:p>
    <w:p>
      <w:pPr>
        <w:widowControl w:val="on"/>
        <w:pBdr/>
        <w:spacing w:before="140" w:after="240" w:line="288" w:lineRule="auto"/>
        <w:ind w:left="0" w:right="0"/>
        <w:jc w:val="left"/>
      </w:pPr>
      <w:r>
        <w:rPr>
          <w:rFonts w:ascii="Arial" w:hAnsi="Arial" w:eastAsia="Arial" w:cs="Arial"/>
          <w:color w:val="000000"/>
          <w:sz w:val="20"/>
          <w:szCs w:val="20"/>
        </w:rPr>
        <w:t xml:space="preserve">Mängel der Software oder des Benutzerhandbuchs, die im Rahmen
der ordnungsgemäßen Untersuchung nicht feststellbar sind, müssen
innerhalb einer Woche nach deren Entdeckung in Schriftform
mitgeteilt werden.</w:t>
      </w:r>
    </w:p>
    <w:p>
      <w:pPr>
        <w:widowControl w:val="on"/>
        <w:pBdr/>
        <w:spacing w:before="140" w:after="240" w:line="288" w:lineRule="auto"/>
        <w:ind w:left="0" w:right="0"/>
        <w:jc w:val="left"/>
      </w:pPr>
      <w:r>
        <w:rPr>
          <w:rFonts w:ascii="Arial" w:hAnsi="Arial" w:eastAsia="Arial" w:cs="Arial"/>
          <w:color w:val="000000"/>
          <w:sz w:val="20"/>
          <w:szCs w:val="20"/>
        </w:rPr>
        <w:t xml:space="preserve">Die vertragsgegenständliche Software gilt als mängelfrei
abgenommen, wenn dem Verkäufer nicht innerhalb von … Tagen ab
Lieferung eine schriftliche Mängelrüge zugeht. Bei Verletzung der
Untersuchungs- oder Rügepflicht gilt die Software hinsichtlich des
betreffenden Mangels als genehmigt.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 Gewährleistung und </w:t>
      </w:r>
      <w:r>
        <w:rPr>
          <w:rFonts w:ascii="Arial" w:hAnsi="Arial" w:eastAsia="Arial" w:cs="Arial"/>
          <w:b/>
          <w:bCs/>
          <w:color w:val="363A40"/>
          <w:sz w:val="28"/>
          <w:szCs w:val="28"/>
        </w:rPr>
        <w:t xml:space="preserve">Haftung</w:t>
      </w:r>
      <w:bookmarkStart w:id="88067996" w:name="link4"/>
      <w:bookmarkEnd w:id="88067996"/>
      <w:hyperlink w:anchor="note4" w:history="1">
        <w:r>
          <w:rPr>
            <w:rFonts w:ascii="Arial" w:hAnsi="Arial" w:eastAsia="Arial" w:cs="Arial"/>
            <w:b/>
            <w:bCs/>
            <w:color w:val="006BB6"/>
            <w:position w:val="6"/>
            <w:sz w:val="31"/>
            <w:szCs w:val="31"/>
            <w:vertAlign w:val="superscript"/>
          </w:rPr>
          <w:t xml:space="preserve">4</w:t>
        </w:r>
      </w:hyperlink>
    </w:p>
    <w:p>
      <w:pPr>
        <w:widowControl w:val="on"/>
        <w:pBdr/>
        <w:spacing w:before="140" w:after="240" w:line="288" w:lineRule="auto"/>
        <w:ind w:left="0" w:right="0"/>
        <w:jc w:val="left"/>
      </w:pPr>
      <w:r>
        <w:rPr>
          <w:rFonts w:ascii="Arial" w:hAnsi="Arial" w:eastAsia="Arial" w:cs="Arial"/>
          <w:color w:val="000000"/>
          <w:sz w:val="20"/>
          <w:szCs w:val="20"/>
        </w:rPr>
        <w:t xml:space="preserve">Für Mängel der Software haftet der Verkäufer nach Maßgabe der
gesetzlichen Bestimmungen.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 </w:t>
      </w:r>
      <w:r>
        <w:rPr>
          <w:rFonts w:ascii="Arial" w:hAnsi="Arial" w:eastAsia="Arial" w:cs="Arial"/>
          <w:b/>
          <w:bCs/>
          <w:color w:val="363A40"/>
          <w:sz w:val="28"/>
          <w:szCs w:val="28"/>
        </w:rPr>
        <w:t xml:space="preserve">Kaufpreis</w:t>
      </w:r>
      <w:bookmarkStart w:id="50225927" w:name="link5"/>
      <w:bookmarkEnd w:id="50225927"/>
      <w:hyperlink w:anchor="note5" w:history="1">
        <w:r>
          <w:rPr>
            <w:rFonts w:ascii="Arial" w:hAnsi="Arial" w:eastAsia="Arial" w:cs="Arial"/>
            <w:b/>
            <w:bCs/>
            <w:color w:val="006BB6"/>
            <w:position w:val="6"/>
            <w:sz w:val="31"/>
            <w:szCs w:val="31"/>
            <w:vertAlign w:val="superscript"/>
          </w:rPr>
          <w:t xml:space="preserve">5</w:t>
        </w:r>
      </w:hyperlink>
    </w:p>
    <w:p>
      <w:pPr>
        <w:widowControl w:val="on"/>
        <w:pBdr/>
        <w:spacing w:before="140" w:after="240" w:line="288" w:lineRule="auto"/>
        <w:ind w:left="0" w:right="0"/>
        <w:jc w:val="left"/>
      </w:pPr>
      <w:r>
        <w:rPr>
          <w:rFonts w:ascii="Arial" w:hAnsi="Arial" w:eastAsia="Arial" w:cs="Arial"/>
          <w:color w:val="000000"/>
          <w:sz w:val="20"/>
          <w:szCs w:val="20"/>
        </w:rPr>
        <w:t xml:space="preserve">Als Kaufpreis für die vertragsgegenständliche Software wird ein
Betrag von EUR … zuzüglich der gesetzlichen Mehrwertsteuer
vereinbart. Der Kaufpreis ist binnen einer Woche ab Abnahme der
gelieferten Software zur Zahlung fällig.</w:t>
      </w:r>
    </w:p>
    <w:p>
      <w:pPr>
        <w:widowControl w:val="on"/>
        <w:pBdr/>
        <w:spacing w:before="140" w:after="240" w:line="288" w:lineRule="auto"/>
        <w:ind w:left="0" w:right="0"/>
        <w:jc w:val="left"/>
      </w:pPr>
      <w:r>
        <w:rPr>
          <w:rFonts w:ascii="Arial" w:hAnsi="Arial" w:eastAsia="Arial" w:cs="Arial"/>
          <w:color w:val="000000"/>
          <w:sz w:val="20"/>
          <w:szCs w:val="20"/>
        </w:rPr>
        <w:t xml:space="preserve">Im Fall des Zahlungsverzuges ist der Käufer zur Zahlung von
Verzugszinsen in der Höhe von 7 % pa verpflichtet.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VIII. Schlussbestimmungen</w:t>
      </w:r>
    </w:p>
    <w:p>
      <w:pPr>
        <w:widowControl w:val="on"/>
        <w:pBdr/>
        <w:spacing w:before="140" w:after="240" w:line="288" w:lineRule="auto"/>
        <w:ind w:left="0" w:right="0"/>
        <w:jc w:val="left"/>
      </w:pPr>
      <w:r>
        <w:rPr>
          <w:rFonts w:ascii="Arial" w:hAnsi="Arial" w:eastAsia="Arial" w:cs="Arial"/>
          <w:color w:val="000000"/>
          <w:sz w:val="20"/>
          <w:szCs w:val="20"/>
        </w:rPr>
        <w:t xml:space="preserve">Auf den vorliegenden Vertrag ist ausschließlich österreichisches
Recht anzuwenden.</w:t>
      </w:r>
    </w:p>
    <w:p>
      <w:pPr>
        <w:widowControl w:val="on"/>
        <w:pBdr/>
        <w:spacing w:before="140" w:after="240" w:line="288" w:lineRule="auto"/>
        <w:ind w:left="0" w:right="0"/>
        <w:jc w:val="left"/>
      </w:pPr>
      <w:r>
        <w:rPr>
          <w:rFonts w:ascii="Arial" w:hAnsi="Arial" w:eastAsia="Arial" w:cs="Arial"/>
          <w:color w:val="000000"/>
          <w:sz w:val="20"/>
          <w:szCs w:val="20"/>
        </w:rPr>
        <w:t xml:space="preserve">Abänderungen und Zusätze zu dieser Vereinbarung sind nur
rechtswirksam, wenn sie in Schriftform erfolgen. Ein Abgehen von
diesem Erfordernis bedarf ebenfalls der Schriftform.</w:t>
      </w:r>
    </w:p>
    <w:p>
      <w:pPr>
        <w:widowControl w:val="on"/>
        <w:pBdr/>
        <w:spacing w:before="140" w:after="240" w:line="288" w:lineRule="auto"/>
        <w:ind w:left="0" w:right="0"/>
        <w:jc w:val="left"/>
      </w:pPr>
      <w:r>
        <w:rPr>
          <w:rFonts w:ascii="Arial" w:hAnsi="Arial" w:eastAsia="Arial" w:cs="Arial"/>
          <w:color w:val="000000"/>
          <w:sz w:val="20"/>
          <w:szCs w:val="20"/>
        </w:rPr>
        <w:t xml:space="preserve">Sollten eine oder mehrere in diesem Vertrag enthaltene
Bestimmungen nichtig oder unwirksam sein oder ihre Wirksamkeit
durch spätere Umstände verlieren oder eine von beiden Parteien
einvernehmlich festgestellte Vertragslücke bestehen, so wird
hiedurch die Gültigkeit der übrigen Bestimmungen nicht berührt. Die
Vertragsparteien verpflichten sich für diesen Fall, den Vertrag
durch eine dem rechtlichen und wirtschaftlichen Zweck der
ungültigen oder unvollständigen Vertragsbestimmung entsprechend
wirksame Bestimmung zu ergänzen.</w:t>
      </w:r>
    </w:p>
    <w:p>
      <w:pPr>
        <w:widowControl w:val="on"/>
        <w:pBdr/>
        <w:spacing w:before="140" w:after="240" w:line="288" w:lineRule="auto"/>
        <w:ind w:left="0" w:right="0"/>
        <w:jc w:val="left"/>
      </w:pPr>
      <w:r>
        <w:rPr>
          <w:rFonts w:ascii="Arial" w:hAnsi="Arial" w:eastAsia="Arial" w:cs="Arial"/>
          <w:color w:val="000000"/>
          <w:sz w:val="20"/>
          <w:szCs w:val="20"/>
        </w:rPr>
        <w:t xml:space="preserve">Diese Vereinbarung wird in einem Original errichtet, welches dem
Käufer gebührt.</w:t>
      </w:r>
    </w:p>
    <w:p>
      <w:pPr>
        <w:widowControl w:val="on"/>
        <w:pBdr/>
        <w:spacing w:before="140" w:after="240" w:line="288" w:lineRule="auto"/>
        <w:ind w:left="0" w:right="0"/>
        <w:jc w:val="left"/>
      </w:pPr>
      <w:r>
        <w:rPr>
          <w:rFonts w:ascii="Arial" w:hAnsi="Arial" w:eastAsia="Arial" w:cs="Arial"/>
          <w:color w:val="000000"/>
          <w:sz w:val="20"/>
          <w:szCs w:val="20"/>
        </w:rPr>
        <w:t xml:space="preserve">Der Verkäufer erhält eine Kopie.</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[Der Verkäufer]</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[Der Käufer]</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7618493" w:name="note1"/>
            <w:bookmarkEnd w:id="37618493"/>
            <w:bookmarkStart w:id="7765747947041" w:name="note1"/>
            <w:r>
              <w:rPr>
                <w:rFonts w:ascii="Arial" w:hAnsi="Arial" w:eastAsia="Arial" w:cs="Arial"/>
                <w:b/>
                <w:bCs/>
                <w:color w:val="000000"/>
                <w:position w:val="0"/>
                <w:sz w:val="20"/>
                <w:szCs w:val="20"/>
              </w:rPr>
              <w:t xml:space="preserve">[1]</w:t>
            </w:r>
            <w:bookmarkEnd w:id="7765747947041"/>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Zu III.</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Grundsätzlich hat jedermann das Recht, von einem Werk einzelne
Vervielfältigungsstücke zum eigenen (privaten) Gebrauch
herzustellen (auch ohne vertragliche Vereinbarung). Eine
Vervielfältigung zum eigenen oder privaten Gebrauch liegt
allerdings nicht vor, wenn sie zu dem Zweck vorgenommen wird, das
Werk mit Hilfe des Vervielfältigungsstückes der Öffentlichkeit
zugänglich zu machen, oder wenn hiefür eine offensichtlich
rechtswidrig hergestellte oder öffentlich zugänglich gemachte
Vorlage verwendet wird. Diese Klarstellung erfolgte aufgrund der
Judikatur des EuGH (C 435/12) und wurde bereits in § 42
Abs 5 UrhG integriert.</w:t>
            </w:r>
          </w:p>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Recht zur Weitergabe</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Urteile „usedSoft“ brachten wichtige Klarstellungen
bezüglich des Handels mit gebrauchter Software und hatten
erhebliche Auswirkungen auf die Softwareindustrie. In den
Entscheidungen des Europäischen Gerichtshofs in den Fällen
„UsedSoft GmbH gegen Oracle International Corp.“ (2012) und
„UsedSoft GmbH gegen Microsoft Corp.“ (2012) wurde festgestellt,
dass der Weiterverkauf von gebrauchten Softwarelizenzen
grundsätzlich legal ist, sofern bestimmte Voraussetzungen erfüllt
sind. Eine der entscheidenden Erkenntnisse aus diesen Urteilen war
die Bestätigung der Erschöpfung des Verbreitungsrechts bei der
erstmaligen Veräußerung einer Softwarelizenz innerhalb des
Europäischen Wirtschaftsraums (EWR). Dies bedeutet, dass der
Inhaber des Urheberrechts seine Kontrolle über die Verbreitung der
Software verliert, sobald er sie erstmals legal verkauft hat. Daher
darf der Käufer einer solchen Lizenz die Software weiterverkaufen,
selbst wenn die Lizenz ursprünglich als nicht übertragbar
gekennzeichnet war. Diese Entscheidungen stärkten die Rechte von
Verbrauchern, da sie den Aufbau eines legalen Sekundärmarkts für
Softwarelizenzen ermöglichen. Unternehmen und Einzelpersonen können
nun gebrauchte Softwarelizenzen erwerben und nutzen, was zu einer
größeren Flexibilität und potenziellen Kosteneinsparungen führt.
Gleichzeitig haben diese Urteile auch Auswirkungen auf die
Geschäftsmodelle der Softwarehersteller, da sie dazu gezwungen
sind, ihre Lizenzierungspraktiken und -richtlinien zu überdenken,
um den neuen rechtlichen Rahmenbedingungen gerecht zu werden.</w:t>
            </w:r>
          </w:p>
          <w:p>
            <w:pPr>
              <w:widowControl w:val="on"/>
              <w:pBdr/>
              <w:spacing w:before="0" w:after="0" w:line="288" w:lineRule="auto"/>
              <w:ind w:left="0" w:right="0"/>
              <w:jc w:val="left"/>
              <w:textAlignment w:val="top"/>
            </w:pPr>
            <w:hyperlink w:anchor="link1"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6565734" w:name="note2"/>
            <w:bookmarkEnd w:id="46565734"/>
            <w:bookmarkStart w:id="9447544988404" w:name="note2"/>
            <w:r>
              <w:rPr>
                <w:rFonts w:ascii="Arial" w:hAnsi="Arial" w:eastAsia="Arial" w:cs="Arial"/>
                <w:b/>
                <w:bCs/>
                <w:color w:val="000000"/>
                <w:position w:val="0"/>
                <w:sz w:val="20"/>
                <w:szCs w:val="20"/>
              </w:rPr>
              <w:t xml:space="preserve">[2]</w:t>
            </w:r>
            <w:bookmarkEnd w:id="9447544988404"/>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Zu IV.</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 einer Änderung des Werkes bedarf es des Einverständnisses
aller Miturheber gem § 11 Abs 2 UrhG.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Code eines Computerprogramms darf vervielfältigt und seine
Codeform übersetzt (dekompiliert) werden, sofern bestimmte
Voraussetzungen erfüllt sind (zB zur Herstellung der
Interoperabilität). Der Ausnahmenkatalog findet sich in § 40e
Abs 2 UrhG. Dabei handelt es sich um zwingendes Recht, von dem
vertraglich nicht abgewichen werden kann!</w:t>
            </w:r>
          </w:p>
          <w:p>
            <w:pPr>
              <w:widowControl w:val="on"/>
              <w:pBdr/>
              <w:spacing w:before="0" w:after="0" w:line="288" w:lineRule="auto"/>
              <w:ind w:left="0" w:right="0"/>
              <w:jc w:val="left"/>
              <w:textAlignment w:val="top"/>
            </w:pPr>
            <w:hyperlink w:anchor="link2"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0351418" w:name="note3"/>
            <w:bookmarkEnd w:id="40351418"/>
            <w:bookmarkStart w:id="8382371007302" w:name="note3"/>
            <w:r>
              <w:rPr>
                <w:rFonts w:ascii="Arial" w:hAnsi="Arial" w:eastAsia="Arial" w:cs="Arial"/>
                <w:b/>
                <w:bCs/>
                <w:color w:val="000000"/>
                <w:position w:val="0"/>
                <w:sz w:val="20"/>
                <w:szCs w:val="20"/>
              </w:rPr>
              <w:t xml:space="preserve">[3]</w:t>
            </w:r>
            <w:bookmarkEnd w:id="8382371007302"/>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Zu V.</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Diese Bestimmung ist wohl nur zwischen Unternehmen möglich, denn
Gewährleistungsrechte des Verbrauchers (§§ 922 bis 933 ABGB)
können vor Kenntnis des Mangels gem § 9 Abs 1 KSchG nicht
wirksam ausgeschlossen oder eingeschränkt werden. Die vorstehenden
Vertragsbestimmungen erinnern an eine Rügepflicht nach § 377
UGB.</w:t>
            </w:r>
          </w:p>
          <w:p>
            <w:pPr>
              <w:widowControl w:val="on"/>
              <w:pBdr/>
              <w:spacing w:before="0" w:after="0" w:line="288" w:lineRule="auto"/>
              <w:ind w:left="0" w:right="0"/>
              <w:jc w:val="left"/>
              <w:textAlignment w:val="top"/>
            </w:pPr>
            <w:hyperlink w:anchor="link3"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0064867" w:name="note4"/>
            <w:bookmarkEnd w:id="10064867"/>
            <w:bookmarkStart w:id="4752743373008" w:name="note4"/>
            <w:r>
              <w:rPr>
                <w:rFonts w:ascii="Arial" w:hAnsi="Arial" w:eastAsia="Arial" w:cs="Arial"/>
                <w:b/>
                <w:bCs/>
                <w:color w:val="000000"/>
                <w:position w:val="0"/>
                <w:sz w:val="20"/>
                <w:szCs w:val="20"/>
              </w:rPr>
              <w:t xml:space="preserve">[4]</w:t>
            </w:r>
            <w:bookmarkEnd w:id="4752743373008"/>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Zu VI.</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Auf europäischer Ebene wurde eine Richtlinie über bestimmte
vertragliche Aspekte der Bereitstellung digitaler Inhalte
geschaffen. Die rechtlichen Konsequenzen insbesondere für das
Gewährleistungsrecht sind weitreichend. Umfasst sein sollen
digitale Inhalte und Dienstleistungen aller Art, auch auf
physischen Datenträgern. Die Umsetzung soll voraussichtlich im Juli
2021 geschehen. Eine der wesentlichsten Auswirkungen liegt darin,
dass ein so genannter „objektiver Fehlerbegriff“ eingeführt wird.
Dies bedeutet letztlich die Festlegung von Mindestkriterien für die
Leistungsfähigkeit (zB Kompatibilität etc), deren Unterschreitung
hinsichtlich Verbraucher nur mehr durch komplexe Opt-out-Modelle
erreicht werden können.</w:t>
            </w:r>
          </w:p>
          <w:p>
            <w:pPr>
              <w:widowControl w:val="on"/>
              <w:pBdr/>
              <w:spacing w:before="0" w:after="0" w:line="288" w:lineRule="auto"/>
              <w:ind w:left="0" w:right="0"/>
              <w:jc w:val="left"/>
              <w:textAlignment w:val="top"/>
            </w:pPr>
            <w:hyperlink w:anchor="link4"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7560518" w:name="note5"/>
            <w:bookmarkEnd w:id="47560518"/>
            <w:bookmarkStart w:id="4642930540565" w:name="note5"/>
            <w:r>
              <w:rPr>
                <w:rFonts w:ascii="Arial" w:hAnsi="Arial" w:eastAsia="Arial" w:cs="Arial"/>
                <w:b/>
                <w:bCs/>
                <w:color w:val="000000"/>
                <w:position w:val="0"/>
                <w:sz w:val="20"/>
                <w:szCs w:val="20"/>
              </w:rPr>
              <w:t xml:space="preserve">[5]</w:t>
            </w:r>
            <w:bookmarkEnd w:id="4642930540565"/>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Zu VII.</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Gem § 6 Abs 1 Z 13 KSchG dürfen die im Fall des
Verzugs des Verbrauchers zu zahlenden Zinsen den für den Fall
vertragsgemäßer Zahlung vereinbarten Zinssatz nicht um mehr als
fünf Prozentpunkte pro Jahr übersteigen. Gem § 1000 Abs 1
ABGB sind 4 % festgelegt, weshalb gesamt maximal 9 %
möglich sind. Dies gilt freilich nicht zwischen Unternehmern. Bei
der Verzögerung der Zahlung von Geldforderungen beträgt der
gesetzliche Zinssatz gem § 456 UGB 9,2 Prozentpunkte über dem
Basiszinssatz. Dabei ist der Basiszinssatz, der am ersten
Kalendertag eines Halbjahres gilt, für das jeweilige Halbjahr
maßgebend. Soweit der Schuldner für die Verzögerung aber nicht
verantwortlich ist, hat er nur die in § 1000 Abs 1 ABGB
bestimmten Zinsen zu entrichten.</w:t>
            </w:r>
          </w:p>
          <w:p>
            <w:pPr>
              <w:widowControl w:val="on"/>
              <w:pBdr/>
              <w:spacing w:before="0" w:after="0" w:line="288" w:lineRule="auto"/>
              <w:ind w:left="0" w:right="0"/>
              <w:jc w:val="left"/>
              <w:textAlignment w:val="top"/>
            </w:pPr>
            <w:hyperlink w:anchor="link5" w:history="1">
              <w:r>
                <w:rPr>
                  <w:rFonts w:ascii="Arial" w:hAnsi="Arial" w:eastAsia="Arial" w:cs="Arial"/>
                  <w:color w:val="006BB6"/>
                  <w:position w:val="0"/>
                  <w:sz w:val="20"/>
                  <w:szCs w:val="20"/>
                  <w:u w:val="single"/>
                </w:rPr>
                <w:t xml:space="preserve">Zurück</w:t>
              </w:r>
            </w:hyperlink>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375841">
    <w:multiLevelType w:val="hybridMultilevel"/>
    <w:lvl w:ilvl="0" w:tplc="75256955">
      <w:start w:val="1"/>
      <w:numFmt w:val="decimal"/>
      <w:lvlText w:val="%1."/>
      <w:lvlJc w:val="left"/>
      <w:pPr>
        <w:ind w:left="720" w:hanging="360"/>
      </w:pPr>
    </w:lvl>
    <w:lvl w:ilvl="1" w:tplc="75256955" w:tentative="1">
      <w:start w:val="1"/>
      <w:numFmt w:val="lowerLetter"/>
      <w:lvlText w:val="%2."/>
      <w:lvlJc w:val="left"/>
      <w:pPr>
        <w:ind w:left="1440" w:hanging="360"/>
      </w:pPr>
    </w:lvl>
    <w:lvl w:ilvl="2" w:tplc="75256955" w:tentative="1">
      <w:start w:val="1"/>
      <w:numFmt w:val="lowerRoman"/>
      <w:lvlText w:val="%3."/>
      <w:lvlJc w:val="right"/>
      <w:pPr>
        <w:ind w:left="2160" w:hanging="180"/>
      </w:pPr>
    </w:lvl>
    <w:lvl w:ilvl="3" w:tplc="75256955" w:tentative="1">
      <w:start w:val="1"/>
      <w:numFmt w:val="decimal"/>
      <w:lvlText w:val="%4."/>
      <w:lvlJc w:val="left"/>
      <w:pPr>
        <w:ind w:left="2880" w:hanging="360"/>
      </w:pPr>
    </w:lvl>
    <w:lvl w:ilvl="4" w:tplc="75256955" w:tentative="1">
      <w:start w:val="1"/>
      <w:numFmt w:val="lowerLetter"/>
      <w:lvlText w:val="%5."/>
      <w:lvlJc w:val="left"/>
      <w:pPr>
        <w:ind w:left="3600" w:hanging="360"/>
      </w:pPr>
    </w:lvl>
    <w:lvl w:ilvl="5" w:tplc="75256955" w:tentative="1">
      <w:start w:val="1"/>
      <w:numFmt w:val="lowerRoman"/>
      <w:lvlText w:val="%6."/>
      <w:lvlJc w:val="right"/>
      <w:pPr>
        <w:ind w:left="4320" w:hanging="180"/>
      </w:pPr>
    </w:lvl>
    <w:lvl w:ilvl="6" w:tplc="75256955" w:tentative="1">
      <w:start w:val="1"/>
      <w:numFmt w:val="decimal"/>
      <w:lvlText w:val="%7."/>
      <w:lvlJc w:val="left"/>
      <w:pPr>
        <w:ind w:left="5040" w:hanging="360"/>
      </w:pPr>
    </w:lvl>
    <w:lvl w:ilvl="7" w:tplc="75256955" w:tentative="1">
      <w:start w:val="1"/>
      <w:numFmt w:val="lowerLetter"/>
      <w:lvlText w:val="%8."/>
      <w:lvlJc w:val="left"/>
      <w:pPr>
        <w:ind w:left="5760" w:hanging="360"/>
      </w:pPr>
    </w:lvl>
    <w:lvl w:ilvl="8" w:tplc="75256955" w:tentative="1">
      <w:start w:val="1"/>
      <w:numFmt w:val="lowerRoman"/>
      <w:lvlText w:val="%9."/>
      <w:lvlJc w:val="right"/>
      <w:pPr>
        <w:ind w:left="6480" w:hanging="180"/>
      </w:pPr>
    </w:lvl>
  </w:abstractNum>
  <w:abstractNum w:abstractNumId="60375840">
    <w:multiLevelType w:val="hybridMultilevel"/>
    <w:lvl w:ilvl="0" w:tplc="403787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375840">
    <w:abstractNumId w:val="60375840"/>
  </w:num>
  <w:num w:numId="60375841">
    <w:abstractNumId w:val="603758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73665721" Type="http://schemas.openxmlformats.org/officeDocument/2006/relationships/numbering" Target="numbering.xml"/><Relationship Id="rId840093914"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