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42776191" w:name="document"/>
    <w:bookmarkEnd w:id="42776191"/>
    <w:p/>
    <w:p>
      <w:pPr>
        <w:widowControl w:val="on"/>
        <w:pBdr/>
        <w:spacing w:before="0" w:after="280" w:line="240" w:lineRule="auto"/>
        <w:ind w:left="0" w:right="0"/>
        <w:jc w:val="left"/>
      </w:pPr>
      <w:r>
        <w:rPr>
          <w:rFonts w:ascii="Arial" w:hAnsi="Arial" w:eastAsia="Arial" w:cs="Arial"/>
          <w:color w:val="363A40"/>
          <w:sz w:val="24"/>
          <w:szCs w:val="24"/>
        </w:rPr>
        <w:t xml:space="preserve">Dokument-ID: 677859 | Wolfgang Steinberger -
Albert Scherzer - Anna Sophie Dalinger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Unternehmenskaufvertrag (kurz)</w:t>
      </w:r>
    </w:p>
    <w:p>
      <w:pPr>
        <w:widowControl w:val="on"/>
        <w:pBdr/>
        <w:spacing w:before="140" w:after="240" w:line="288" w:lineRule="auto"/>
        <w:ind w:left="0" w:right="0"/>
        <w:jc w:val="left"/>
      </w:pPr>
      <w:r>
        <w:rPr>
          <w:rFonts w:ascii="Arial" w:hAnsi="Arial" w:eastAsia="Arial" w:cs="Arial"/>
          <w:color w:val="000000"/>
          <w:sz w:val="20"/>
          <w:szCs w:val="20"/>
        </w:rPr>
        <w:t xml:space="preserve">Abgeschlossen am heutigen Tage zwischen</w:t>
      </w:r>
    </w:p>
    <w:p>
      <w:pPr>
        <w:widowControl w:val="on"/>
        <w:pBdr/>
        <w:spacing w:before="140" w:after="240" w:line="288" w:lineRule="auto"/>
        <w:ind w:left="0" w:right="0"/>
        <w:jc w:val="left"/>
      </w:pPr>
      <w:r>
        <w:rPr>
          <w:rFonts w:ascii="Arial" w:hAnsi="Arial" w:eastAsia="Arial" w:cs="Arial"/>
          <w:color w:val="000000"/>
          <w:sz w:val="20"/>
          <w:szCs w:val="20"/>
        </w:rPr>
        <w:t xml:space="preserve">Herrn A, Gastwirt,</w:t>
      </w:r>
      <w:r>
        <w:rPr>
          <w:rFonts w:ascii="Arial" w:hAnsi="Arial" w:eastAsia="Arial" w:cs="Arial"/>
          <w:color w:val="000000"/>
          <w:sz w:val="20"/>
          <w:szCs w:val="20"/>
        </w:rPr>
        <w:br/>
        <w:t xml:space="preserve">wohnhaft in …,</w:t>
      </w:r>
      <w:r>
        <w:rPr>
          <w:rFonts w:ascii="Arial" w:hAnsi="Arial" w:eastAsia="Arial" w:cs="Arial"/>
          <w:color w:val="000000"/>
          <w:sz w:val="20"/>
          <w:szCs w:val="20"/>
        </w:rPr>
        <w:br/>
        <w:t xml:space="preserve">als Verkäufer einerseits</w:t>
      </w:r>
    </w:p>
    <w:p>
      <w:pPr>
        <w:widowControl w:val="on"/>
        <w:pBdr/>
        <w:spacing w:before="140" w:after="240" w:line="288" w:lineRule="auto"/>
        <w:ind w:left="0" w:right="0"/>
        <w:jc w:val="left"/>
      </w:pPr>
      <w:r>
        <w:rPr>
          <w:rFonts w:ascii="Arial" w:hAnsi="Arial" w:eastAsia="Arial" w:cs="Arial"/>
          <w:color w:val="000000"/>
          <w:sz w:val="20"/>
          <w:szCs w:val="20"/>
        </w:rPr>
        <w:t xml:space="preserve">und</w:t>
      </w:r>
    </w:p>
    <w:p>
      <w:pPr>
        <w:widowControl w:val="on"/>
        <w:pBdr/>
        <w:spacing w:before="140" w:after="240" w:line="288" w:lineRule="auto"/>
        <w:ind w:left="0" w:right="0"/>
        <w:jc w:val="left"/>
      </w:pPr>
      <w:r>
        <w:rPr>
          <w:rFonts w:ascii="Arial" w:hAnsi="Arial" w:eastAsia="Arial" w:cs="Arial"/>
          <w:color w:val="000000"/>
          <w:sz w:val="20"/>
          <w:szCs w:val="20"/>
        </w:rPr>
        <w:t xml:space="preserve">Herrn B, kfm Angestellter,</w:t>
      </w:r>
      <w:r>
        <w:rPr>
          <w:rFonts w:ascii="Arial" w:hAnsi="Arial" w:eastAsia="Arial" w:cs="Arial"/>
          <w:color w:val="000000"/>
          <w:sz w:val="20"/>
          <w:szCs w:val="20"/>
        </w:rPr>
        <w:br/>
        <w:t xml:space="preserve">wohnhaft in …,</w:t>
      </w:r>
      <w:r>
        <w:rPr>
          <w:rFonts w:ascii="Arial" w:hAnsi="Arial" w:eastAsia="Arial" w:cs="Arial"/>
          <w:color w:val="000000"/>
          <w:sz w:val="20"/>
          <w:szCs w:val="20"/>
        </w:rPr>
        <w:br/>
        <w:t xml:space="preserve">als Käufer andererseits wie folgt:</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I.</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betreibt in … unter der Firma … ein Gasthaus.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w:t>
      </w:r>
    </w:p>
    <w:p>
      <w:pPr>
        <w:widowControl w:val="on"/>
        <w:pBdr/>
        <w:spacing w:before="140" w:after="240" w:line="288" w:lineRule="auto"/>
        <w:ind w:left="0" w:right="0"/>
        <w:jc w:val="left"/>
      </w:pPr>
      <w:r>
        <w:rPr>
          <w:rFonts w:ascii="Arial" w:hAnsi="Arial" w:eastAsia="Arial" w:cs="Arial"/>
          <w:color w:val="000000"/>
          <w:sz w:val="20"/>
          <w:szCs w:val="20"/>
        </w:rPr>
        <w:t xml:space="preserve">Herr A verkauft und übergibt und Herr B kauft und übernimmt mit
Wirksamkeit vom … das dem Verkäufer allein gehörende, in Punkt I
näher bezeichnete Unternehmen mit der Firma …, welches unter FN …
im Firmenbuch des Handelsgerichtes Wien eingetragen ist.</w:t>
      </w:r>
    </w:p>
    <w:p>
      <w:pPr>
        <w:widowControl w:val="on"/>
        <w:pBdr/>
        <w:spacing w:before="140" w:after="240" w:line="288" w:lineRule="auto"/>
        <w:ind w:left="0" w:right="0"/>
        <w:jc w:val="left"/>
      </w:pPr>
      <w:r>
        <w:rPr>
          <w:rFonts w:ascii="Arial" w:hAnsi="Arial" w:eastAsia="Arial" w:cs="Arial"/>
          <w:color w:val="000000"/>
          <w:sz w:val="20"/>
          <w:szCs w:val="20"/>
        </w:rPr>
        <w:t xml:space="preserve">Der Käufer kauft das Unternehmen samt allen Aktiven und
Passiven, wie sie in der von beiden Vertragsteilen gemeinsam zu
erstellenden Bilanz zum … verzeichnet sind, samt allem rechtlichen
und physischen Zubehör um den vereinbarten Kaufpreis von EUR …
(in Worten … Euro) zuzüglich der 20%igen Umsatzsteuer von
EUR … (in Worten … Euro), sohin insgesamt um einen Kaufpreis
von EUR … (in Worten … Euro).</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gridSpan w:val="3"/>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Das Reinvermögen setzt sich wie folgt zusammen: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das Anlagevermögen (Geschäftseinrichtung)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das Warenlager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Auf den Firmenwert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Summe der Aktiva</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Abzüglich Lieferantenverbindlichkeiten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Abzüglich offener Mietzinsforderung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Insgesamt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w:t>
            </w:r>
          </w:p>
        </w:tc>
      </w:tr>
    </w:tbl>
    <w:p>
      <w:pPr>
        <w:widowControl w:val="on"/>
        <w:pBdr/>
        <w:spacing w:before="140" w:after="240" w:line="288" w:lineRule="auto"/>
        <w:ind w:left="0" w:right="0"/>
        <w:jc w:val="left"/>
      </w:pPr>
      <w:r>
        <w:rPr>
          <w:rFonts w:ascii="Arial" w:hAnsi="Arial" w:eastAsia="Arial" w:cs="Arial"/>
          <w:color w:val="000000"/>
          <w:sz w:val="20"/>
          <w:szCs w:val="20"/>
        </w:rPr>
        <w:t xml:space="preserve">Der Nettokaufpreis ist Zug um Zug gegen Übergabe des
Kaufgegenstandes am … zur Gänze zur Zahlung fällig, wobei
vereinbart wird, dass die Berichtigung des Kaufpreises durch
Übergabe eines Bankschecks eines inländischen Kreditinstitutes zu
erfolgen hat. Der Bankscheck hat auf den Namen des Verkäufers als
Begünstigten zu lauten.</w:t>
      </w:r>
    </w:p>
    <w:p>
      <w:pPr>
        <w:widowControl w:val="on"/>
        <w:pBdr/>
        <w:spacing w:before="140" w:after="240" w:line="288" w:lineRule="auto"/>
        <w:ind w:left="0" w:right="0"/>
        <w:jc w:val="left"/>
      </w:pPr>
      <w:r>
        <w:rPr>
          <w:rFonts w:ascii="Arial" w:hAnsi="Arial" w:eastAsia="Arial" w:cs="Arial"/>
          <w:color w:val="000000"/>
          <w:sz w:val="20"/>
          <w:szCs w:val="20"/>
        </w:rPr>
        <w:t xml:space="preserve">Die Berichtigung des auf die Umsatzsteuer entfallenden Betrages
von EUR … (in Worten … Euro) erfolgt durch Umbuchung auf den
Steuerkonten der Vertragsteile. Der Käufer übergibt zur
Sicherstellung seiner Verpflichtung eine auf seinen Steuerberater
lautende Vollmacht, welche auch den unwiderruflichen Auftrag
enthält, beim zuständigen Finanzamt den entsprechenden Antrag zu
stellen. Der Verkäufer garantiert, dass der Durchführung dieses
Umbuchungsantrages keinerlei Hindernisse, wie etwa Steuerschulden
oder kurzfristig fällig werdende, die Umbuchung hindernde
Steuerverbindlichkeiten, entgegenstehen.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w:t>
      </w:r>
    </w:p>
    <w:p>
      <w:pPr>
        <w:widowControl w:val="on"/>
        <w:pBdr/>
        <w:spacing w:before="140" w:after="240" w:line="288" w:lineRule="auto"/>
        <w:ind w:left="0" w:right="0"/>
        <w:jc w:val="left"/>
      </w:pPr>
      <w:r>
        <w:rPr>
          <w:rFonts w:ascii="Arial" w:hAnsi="Arial" w:eastAsia="Arial" w:cs="Arial"/>
          <w:color w:val="000000"/>
          <w:sz w:val="20"/>
          <w:szCs w:val="20"/>
        </w:rPr>
        <w:t xml:space="preserve">Der Vertragsgegenstand wird mit allen Rechten und Befugnissen
verkauft, wie der Verkäufer diesen besessen und benützt hat bzw zu
besitzen und zu benützen berechtigt war.</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haftet dafür, dass der Vertragsgegenstand mit
Ausnahme der in der erwähnten Bilanz enthaltenen Verbindlichkeiten
lastenfrei ist.</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leistet ausdrücklich Gewähr, dass die Bilanz zum …
vollständig und richtig ist und in Übereinstimmung mit den
Grundsätzen ordnungsgemäßer Buchführung erstellt worden ist.</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sichert ausdrücklich zu, dass keine
Verbindlichkeiten beim Finanzamt, der Gebietskrankenkasse,
Gebietskörperschaften sowie bei Kreditinstituten bestehen.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w:t>
      </w:r>
    </w:p>
    <w:p>
      <w:pPr>
        <w:widowControl w:val="on"/>
        <w:pBdr/>
        <w:spacing w:before="140" w:after="240" w:line="288" w:lineRule="auto"/>
        <w:ind w:left="0" w:right="0"/>
        <w:jc w:val="left"/>
      </w:pPr>
      <w:r>
        <w:rPr>
          <w:rFonts w:ascii="Arial" w:hAnsi="Arial" w:eastAsia="Arial" w:cs="Arial"/>
          <w:color w:val="000000"/>
          <w:sz w:val="20"/>
          <w:szCs w:val="20"/>
        </w:rPr>
        <w:t xml:space="preserve">Der Käufer erklärt ausdrücklich, den Vertragsgegenstand zu
kennen, welcher ihm sohin bekannt ist. Er erklärt weiters, sich
auch über den Geschäftsgang durch Einsichtnahme in die Bücher
informiert zu haben.</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der Verkäufer nicht für einen bestimmten
Umsatz bzw einen bestimmten Ertrag des kaufgegenständlichen
Unternehmens haftet.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w:t>
      </w:r>
    </w:p>
    <w:p>
      <w:pPr>
        <w:widowControl w:val="on"/>
        <w:pBdr/>
        <w:spacing w:before="140" w:after="240" w:line="288" w:lineRule="auto"/>
        <w:ind w:left="0" w:right="0"/>
        <w:jc w:val="left"/>
      </w:pPr>
      <w:r>
        <w:rPr>
          <w:rFonts w:ascii="Arial" w:hAnsi="Arial" w:eastAsia="Arial" w:cs="Arial"/>
          <w:color w:val="000000"/>
          <w:sz w:val="20"/>
          <w:szCs w:val="20"/>
        </w:rPr>
        <w:t xml:space="preserve">Als Stichtag für den Übergang von Besitz, Gefahr, Schaden und
Zufall, Last und Vorteil wird der … vereinbart. Von diesem
Zeitpunkt an hat der Käufer alle das Unternehmen betreffenden
Steuern, Abgaben und Verbindlichkeiten zu tragen, zieht jedoch auch
sämtliche aus dem Unternehmen zu erwirtschaftende Früchte.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w:t>
      </w:r>
    </w:p>
    <w:p>
      <w:pPr>
        <w:widowControl w:val="on"/>
        <w:pBdr/>
        <w:spacing w:before="140" w:after="240" w:line="288" w:lineRule="auto"/>
        <w:ind w:left="0" w:right="0"/>
        <w:jc w:val="left"/>
      </w:pPr>
      <w:r>
        <w:rPr>
          <w:rFonts w:ascii="Arial" w:hAnsi="Arial" w:eastAsia="Arial" w:cs="Arial"/>
          <w:color w:val="000000"/>
          <w:sz w:val="20"/>
          <w:szCs w:val="20"/>
        </w:rPr>
        <w:t xml:space="preserve">Die Vertragsteile erklären, dass ihnen die Haftungsbestimmungen
der §§ 1409 ABGB, 67 Abs 4 ASVG und 14 BAO bekannt sind.
Weiter sind ihnen die Bestimmungen der §§ 38, 39 UGB
bekannt.</w:t>
      </w:r>
    </w:p>
    <w:p>
      <w:pPr>
        <w:widowControl w:val="on"/>
        <w:pBdr/>
        <w:spacing w:before="140" w:after="240" w:line="288" w:lineRule="auto"/>
        <w:ind w:left="0" w:right="0"/>
        <w:jc w:val="left"/>
      </w:pPr>
      <w:r>
        <w:rPr>
          <w:rFonts w:ascii="Arial" w:hAnsi="Arial" w:eastAsia="Arial" w:cs="Arial"/>
          <w:color w:val="000000"/>
          <w:sz w:val="20"/>
          <w:szCs w:val="20"/>
        </w:rPr>
        <w:t xml:space="preserve">Sollten entgegen der Zusicherung im Sinne dieses Vertrages
nachträglich Steuern oder Abgabenverbindlichkeiten aus einem
Zeitpunkt vor dem Übergabsstichtag im Sinne dieses Vertrages
geltend gemacht werden, verpflichtet sich der Verkäufer, den Käufer
diesbezüglich schad- und klaglos zu halten.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VIII.</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keine Dienstnehmer vorhanden sind.</w:t>
      </w:r>
    </w:p>
    <w:p>
      <w:pPr>
        <w:widowControl w:val="on"/>
        <w:pBdr/>
        <w:spacing w:before="140" w:after="240" w:line="288" w:lineRule="auto"/>
        <w:ind w:left="0" w:right="0"/>
        <w:jc w:val="left"/>
      </w:pPr>
      <w:r>
        <w:rPr>
          <w:rFonts w:ascii="Arial" w:hAnsi="Arial" w:eastAsia="Arial" w:cs="Arial"/>
          <w:color w:val="000000"/>
          <w:sz w:val="20"/>
          <w:szCs w:val="20"/>
        </w:rPr>
        <w:t xml:space="preserve">Weiters wird festgehalten, dass der Vermieter von der
Veräußerung des Unternehmens bereits in Kenntnis gesetzt wurde und
über die Höhe des Mietzinses zwischen dem Käufer und dem Vermieter
bereits eine Vereinbarung getroffen wurde.</w:t>
      </w:r>
    </w:p>
    <w:p>
      <w:pPr>
        <w:widowControl w:val="on"/>
        <w:pBdr/>
        <w:spacing w:before="140" w:after="240" w:line="288" w:lineRule="auto"/>
        <w:ind w:left="0" w:right="0"/>
        <w:jc w:val="left"/>
      </w:pPr>
      <w:r>
        <w:rPr>
          <w:rFonts w:ascii="Arial" w:hAnsi="Arial" w:eastAsia="Arial" w:cs="Arial"/>
          <w:color w:val="000000"/>
          <w:sz w:val="20"/>
          <w:szCs w:val="20"/>
        </w:rPr>
        <w:t xml:space="preserve">Hinsichtlich des Bierbezugsvertrages sowie des Vertrages mit …
wird vereinbart, dass die Vertragspartner unverzüglich nach
Vertragsabschluss in gemeinsamer Abstimmung und in geeigneter Weise
den Dritten gem § 38 Abs 2 UGB hievon verständigen. Der
Verkäufer sichert ausdrücklich zu, sämtliche Handlungen und
Schritte zu unternehmen, damit der etwaige Dritte der Übernahme des
Vertragsverhältnisses durch den Käufer nicht widerspricht.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IX.</w:t>
      </w:r>
    </w:p>
    <w:p>
      <w:pPr>
        <w:widowControl w:val="on"/>
        <w:pBdr/>
        <w:spacing w:before="140" w:after="240" w:line="288" w:lineRule="auto"/>
        <w:ind w:left="0" w:right="0"/>
        <w:jc w:val="left"/>
      </w:pPr>
      <w:r>
        <w:rPr>
          <w:rFonts w:ascii="Arial" w:hAnsi="Arial" w:eastAsia="Arial" w:cs="Arial"/>
          <w:color w:val="000000"/>
          <w:sz w:val="20"/>
          <w:szCs w:val="20"/>
        </w:rPr>
        <w:t xml:space="preserve">Der Käufer ist berechtigt, das Unternehmen unter der bisherigen
Firma mit oder ohne Nachfolgezusatz weiterzuführen.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w:t>
      </w:r>
    </w:p>
    <w:p>
      <w:pPr>
        <w:widowControl w:val="on"/>
        <w:pBdr/>
        <w:spacing w:before="140" w:after="240" w:line="288" w:lineRule="auto"/>
        <w:ind w:left="0" w:right="0"/>
        <w:jc w:val="left"/>
      </w:pPr>
      <w:r>
        <w:rPr>
          <w:rFonts w:ascii="Arial" w:hAnsi="Arial" w:eastAsia="Arial" w:cs="Arial"/>
          <w:color w:val="000000"/>
          <w:sz w:val="20"/>
          <w:szCs w:val="20"/>
        </w:rPr>
        <w:t xml:space="preserve">Der Verkäufer verpflichtet sich, für die Dauer von zwei Jahren,
gerechnet ab dem Tag der Vertragsunterfertigung, in … weder für
eigene noch für fremde Rechnung ein Gasthaus zu betreiben. Er
verpflichtet sich weiters, ein solches Geschäft auch nicht durch
andere für eigene oder fremde Rechnung betreiben zu lassen und sich
auch an einem solchen Geschäft weder direkt noch indirekt oder in
welcher Art immer zu beteiligen.</w:t>
      </w:r>
    </w:p>
    <w:p>
      <w:pPr>
        <w:widowControl w:val="on"/>
        <w:pBdr/>
        <w:spacing w:before="140" w:after="240" w:line="288" w:lineRule="auto"/>
        <w:ind w:left="0" w:right="0"/>
        <w:jc w:val="left"/>
      </w:pPr>
      <w:r>
        <w:rPr>
          <w:rFonts w:ascii="Arial" w:hAnsi="Arial" w:eastAsia="Arial" w:cs="Arial"/>
          <w:color w:val="000000"/>
          <w:sz w:val="20"/>
          <w:szCs w:val="20"/>
        </w:rPr>
        <w:t xml:space="preserve">Im Falle des Zuwiderhandelns gegen dieses Konkurrenzverbotes
verpflichtet sich der Verkäufer, eine Vertragsstrafe von EUR …
(in Worten … Euro) zu bezahlen.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XI.</w:t>
      </w:r>
    </w:p>
    <w:p>
      <w:pPr>
        <w:widowControl w:val="on"/>
        <w:pBdr/>
        <w:spacing w:before="140" w:after="240" w:line="288" w:lineRule="auto"/>
        <w:ind w:left="0" w:right="0"/>
        <w:jc w:val="left"/>
      </w:pPr>
      <w:r>
        <w:rPr>
          <w:rFonts w:ascii="Arial" w:hAnsi="Arial" w:eastAsia="Arial" w:cs="Arial"/>
          <w:color w:val="000000"/>
          <w:sz w:val="20"/>
          <w:szCs w:val="20"/>
        </w:rPr>
        <w:t xml:space="preserve">Die Parteien halten fest, dass sie diesen Vertrag im Einzelnen
ausgehandelt und jede Bestimmung ausführlich besprochen haben. Es
bestehen weder schriftliche noch mündliche Nebenabreden zu diesem
Vertrag. Zusätzliche Vereinbarungen bedürfen zu ihrer
Rechtswirksamkeit grundsätzlich der Schriftform. Dies gilt auch für
ein Abgehen von diesem Schriftformerfordernis.</w:t>
      </w:r>
    </w:p>
    <w:p>
      <w:pPr>
        <w:widowControl w:val="on"/>
        <w:pBdr/>
        <w:spacing w:before="140" w:after="240" w:line="288" w:lineRule="auto"/>
        <w:ind w:left="0" w:right="0"/>
        <w:jc w:val="left"/>
      </w:pPr>
      <w:r>
        <w:rPr>
          <w:rFonts w:ascii="Arial" w:hAnsi="Arial" w:eastAsia="Arial" w:cs="Arial"/>
          <w:color w:val="000000"/>
          <w:sz w:val="20"/>
          <w:szCs w:val="20"/>
        </w:rPr>
        <w:t xml:space="preserve">Sollte eine Bestimmung dieses Vertrages unwirksam sein, so
berührt dies die Wirksamkeit des Restvertrages nicht. Die Parteien
verpflichten sich in diesem Fall, die unwirksame Bestimmung durch
eine wirksame Bestimmung zu ersetzen, die dem angestrebten Zweck in
wirtschaftlicher und rechtlicher Weise am weitesten entspricht.</w:t>
      </w:r>
    </w:p>
    <w:p>
      <w:pPr>
        <w:widowControl w:val="on"/>
        <w:pBdr/>
        <w:spacing w:before="140" w:after="240" w:line="288" w:lineRule="auto"/>
        <w:ind w:left="0" w:right="0"/>
        <w:jc w:val="left"/>
      </w:pPr>
      <w:r>
        <w:rPr>
          <w:rFonts w:ascii="Arial" w:hAnsi="Arial" w:eastAsia="Arial" w:cs="Arial"/>
          <w:color w:val="000000"/>
          <w:sz w:val="20"/>
          <w:szCs w:val="20"/>
        </w:rPr>
        <w:t xml:space="preserve">Für alle mit diesem Vertrag zusammenhängenden Streitigkeiten
wird die Zuständigkeit des sachlich zuständigen Gerichtes in …
vereinbart.</w:t>
      </w:r>
    </w:p>
    <w:p>
      <w:pPr>
        <w:widowControl w:val="on"/>
        <w:pBdr/>
        <w:spacing w:before="140" w:after="240" w:line="288" w:lineRule="auto"/>
        <w:ind w:left="0" w:right="0"/>
        <w:jc w:val="left"/>
      </w:pPr>
      <w:r>
        <w:rPr>
          <w:rFonts w:ascii="Arial" w:hAnsi="Arial" w:eastAsia="Arial" w:cs="Arial"/>
          <w:color w:val="000000"/>
          <w:sz w:val="20"/>
          <w:szCs w:val="20"/>
        </w:rPr>
        <w:t xml:space="preserve">Dieser Vertrag wird in einem Original errichtet, welches dem
Käufer gebührt. Der Verkäufer erhält eine beglaubigte Kopie.</w:t>
      </w:r>
    </w:p>
    <w:p>
      <w:pPr>
        <w:widowControl w:val="on"/>
        <w:pBdr/>
        <w:spacing w:before="140" w:after="240" w:line="288" w:lineRule="auto"/>
        <w:ind w:left="0" w:right="0"/>
        <w:jc w:val="left"/>
      </w:pPr>
      <w:r>
        <w:rPr>
          <w:rFonts w:ascii="Arial" w:hAnsi="Arial" w:eastAsia="Arial" w:cs="Arial"/>
          <w:color w:val="000000"/>
          <w:sz w:val="20"/>
          <w:szCs w:val="20"/>
        </w:rPr>
        <w:t xml:space="preserve">Die Kosten der Errichtung dieses Vertrages sowie allfällige
öffentliche Abgaben werden vom Käufer getragen.</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Der Verkäufer</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Der Käufer</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0241696" w:name="note1"/>
            <w:bookmarkEnd w:id="10241696"/>
            <w:bookmarkStart w:id="4357604567693" w:name="note1"/>
            <w:r>
              <w:rPr>
                <w:rFonts w:ascii="Arial" w:hAnsi="Arial" w:eastAsia="Arial" w:cs="Arial"/>
                <w:b/>
                <w:bCs/>
                <w:color w:val="000000"/>
                <w:position w:val="0"/>
                <w:sz w:val="20"/>
                <w:szCs w:val="20"/>
              </w:rPr>
              <w:t xml:space="preserve">[1]</w:t>
            </w:r>
            <w:bookmarkEnd w:id="4357604567693"/>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Wettbewerbsverbot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Wettbewerbsverbote, die dem Veräußerer im Zusammenhang mit der
Übertragung eines Unternehmens auferlegt werden, sind nach der
europäischen Verwaltungspraxis bis zu drei Jahre gerechtfertigt,
wenn zusammen mit dem Unternehmen der Geschäftswert und das
Know-how übertragen werden, ohne letzteres nur zwei Jahre. Ob einer
Vertragspartei durch eine Konkurrenzklausel Beschränkungen im
übergroßen Umfang ohne zeitliche oder örtliche Begrenzungen
auferlegt werden oder ein auffallendes Missverhältnis zwischen den
durch das Verbot zu schützenden Interessen des einen Vertragsteils
und der dem anderen Teil auferlegten Beschränkung besteht, hängt im
Übrigen regelmäßig von den Umständen des Einzelfalls ab (OGH
23.04.2014, 4 Ob 46/14i).</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1177268" w:name="note2"/>
            <w:bookmarkEnd w:id="21177268"/>
            <w:bookmarkStart w:id="7259189277163" w:name="note2"/>
            <w:r>
              <w:rPr>
                <w:rFonts w:ascii="Arial" w:hAnsi="Arial" w:eastAsia="Arial" w:cs="Arial"/>
                <w:b/>
                <w:bCs/>
                <w:color w:val="000000"/>
                <w:position w:val="0"/>
                <w:sz w:val="20"/>
                <w:szCs w:val="20"/>
              </w:rPr>
              <w:t xml:space="preserve">[2]</w:t>
            </w:r>
            <w:bookmarkEnd w:id="7259189277163"/>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Gewährleistung bei Unternehmenskauf</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Entsprechend der Regelung des § 922 ABGB leistet der
Verkäufer dafür Gewähr, dass der Kaufgegenstand die vereinbarten
oder gewöhnlich vorausgesetzten Eigenschaften aufweist. Was genau
unter „gewöhnlich vorausgesetzte Eigenschaften“ hinsichtlich eines
lebenden Unternehmens zu verstehen ist, kann oft nicht einfach
beantwortet werden, da es kein Modellunternehmen gibt, welches zur
Beurteilung einer allfälligen Mangelhaftigkeit herangezogen werden
könnte. Besonders die Frage der künftigen Ertragsfähigkeit ist
hierbei das Hauptproblem. Aus diesem Grund liegt es nahe, den
Kaufgegenstand und seine Eigenschaften im Unternehmenskaufvertrag
möglichst genau zu definieren. Im B2B-Verhältnis bleibt ergänzend
die Rügeobliegenheit des § 377 UGB zu beachten; wird ein
Mangel nicht unverzüglich gerügt, sind Gewährleistungs‑ und
Schadenersatzansprüche regelmäßig präkludiert (§ 922 ABGB;
§ 377 UGB).</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4796148" w:name="note3"/>
            <w:bookmarkEnd w:id="64796148"/>
            <w:bookmarkStart w:id="2044597640182" w:name="note3"/>
            <w:r>
              <w:rPr>
                <w:rFonts w:ascii="Arial" w:hAnsi="Arial" w:eastAsia="Arial" w:cs="Arial"/>
                <w:b/>
                <w:bCs/>
                <w:color w:val="000000"/>
                <w:position w:val="0"/>
                <w:sz w:val="20"/>
                <w:szCs w:val="20"/>
              </w:rPr>
              <w:t xml:space="preserve">[3]</w:t>
            </w:r>
            <w:bookmarkEnd w:id="2044597640182"/>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Erwerberhaftung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Erwerberhaftung nach § 38 Abs 4 UGB bezieht sich
auf Verbindlichkeiten aus unternehmensbezogen Rechtsverhältnissen.
Davon sind jedenfalls Vertragsverhältnisse, gesetzliche
Schuldverhältnisse und öffentlich-rechtliche Verbindlichkeiten
erfasst. Ausgenommen ist die Haftung des Erwerbers für
höchstpersönliche Rechtsverhältnisse des Veräußerers.
Rechtsverhältnisse von Unternehmen sind regelmäßig nicht
höchstpersönlicher Natur. Dies gilt auch für Verbindlichkeiten aus
der Begebung von Ergänzungskapital (OGH 26.02.2015, 8 Ob 2/15z).
Der generelle Haftungsausschluss ist zulässig, wird Dritten
gegenüber aber nur wirksam, wenn er (ua) ins Firmenbuch eingetragen
oder auf verkehrsübliche Weise bekannt gemacht bzw individuell
mitgeteilt wird (§ 38 Abs 4 UGB); die Haftung nach
§ 1409 ABGB bleibt davon unberührt und ist zwingend (OGH
26.02.2015, 8 Ob 2/15z).</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8009352" w:name="note4"/>
            <w:bookmarkEnd w:id="88009352"/>
            <w:bookmarkStart w:id="9688630662845" w:name="note4"/>
            <w:r>
              <w:rPr>
                <w:rFonts w:ascii="Arial" w:hAnsi="Arial" w:eastAsia="Arial" w:cs="Arial"/>
                <w:b/>
                <w:bCs/>
                <w:color w:val="000000"/>
                <w:position w:val="0"/>
                <w:sz w:val="20"/>
                <w:szCs w:val="20"/>
              </w:rPr>
              <w:t xml:space="preserve">[4]</w:t>
            </w:r>
            <w:bookmarkEnd w:id="9688630662845"/>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Publizität und zeitliche Nähe des Haftungsausschlusses</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Soll der Haftungsausschluss nach § 38 Abs 4 UGB über
die Firmenbucheintragung publiziert werden, ist er „beim
Unternehmensübergang“ einzutragen; gefordert ist ein enger
zeitlicher Zusammenhang. Nach der Rechtsprechung kann bereits nach
Ablauf von rund einem Monat die erforderliche zeitliche Nähe
verneint werden (6 Ob 80/18k; 6 Ob 79/19i). Ein zu später
Publizitätsakt wahrt die Außenwirkung gegenüber Dritten nicht
(§ 38 Abs 4 UGB; 6 Ob 80/18k; 6 Ob 79/19i; 6 Ob
242/11y).</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589831">
    <w:multiLevelType w:val="hybridMultilevel"/>
    <w:lvl w:ilvl="0" w:tplc="83216863">
      <w:start w:val="1"/>
      <w:numFmt w:val="decimal"/>
      <w:lvlText w:val="%1."/>
      <w:lvlJc w:val="left"/>
      <w:pPr>
        <w:ind w:left="720" w:hanging="360"/>
      </w:pPr>
    </w:lvl>
    <w:lvl w:ilvl="1" w:tplc="83216863" w:tentative="1">
      <w:start w:val="1"/>
      <w:numFmt w:val="lowerLetter"/>
      <w:lvlText w:val="%2."/>
      <w:lvlJc w:val="left"/>
      <w:pPr>
        <w:ind w:left="1440" w:hanging="360"/>
      </w:pPr>
    </w:lvl>
    <w:lvl w:ilvl="2" w:tplc="83216863" w:tentative="1">
      <w:start w:val="1"/>
      <w:numFmt w:val="lowerRoman"/>
      <w:lvlText w:val="%3."/>
      <w:lvlJc w:val="right"/>
      <w:pPr>
        <w:ind w:left="2160" w:hanging="180"/>
      </w:pPr>
    </w:lvl>
    <w:lvl w:ilvl="3" w:tplc="83216863" w:tentative="1">
      <w:start w:val="1"/>
      <w:numFmt w:val="decimal"/>
      <w:lvlText w:val="%4."/>
      <w:lvlJc w:val="left"/>
      <w:pPr>
        <w:ind w:left="2880" w:hanging="360"/>
      </w:pPr>
    </w:lvl>
    <w:lvl w:ilvl="4" w:tplc="83216863" w:tentative="1">
      <w:start w:val="1"/>
      <w:numFmt w:val="lowerLetter"/>
      <w:lvlText w:val="%5."/>
      <w:lvlJc w:val="left"/>
      <w:pPr>
        <w:ind w:left="3600" w:hanging="360"/>
      </w:pPr>
    </w:lvl>
    <w:lvl w:ilvl="5" w:tplc="83216863" w:tentative="1">
      <w:start w:val="1"/>
      <w:numFmt w:val="lowerRoman"/>
      <w:lvlText w:val="%6."/>
      <w:lvlJc w:val="right"/>
      <w:pPr>
        <w:ind w:left="4320" w:hanging="180"/>
      </w:pPr>
    </w:lvl>
    <w:lvl w:ilvl="6" w:tplc="83216863" w:tentative="1">
      <w:start w:val="1"/>
      <w:numFmt w:val="decimal"/>
      <w:lvlText w:val="%7."/>
      <w:lvlJc w:val="left"/>
      <w:pPr>
        <w:ind w:left="5040" w:hanging="360"/>
      </w:pPr>
    </w:lvl>
    <w:lvl w:ilvl="7" w:tplc="83216863" w:tentative="1">
      <w:start w:val="1"/>
      <w:numFmt w:val="lowerLetter"/>
      <w:lvlText w:val="%8."/>
      <w:lvlJc w:val="left"/>
      <w:pPr>
        <w:ind w:left="5760" w:hanging="360"/>
      </w:pPr>
    </w:lvl>
    <w:lvl w:ilvl="8" w:tplc="83216863" w:tentative="1">
      <w:start w:val="1"/>
      <w:numFmt w:val="lowerRoman"/>
      <w:lvlText w:val="%9."/>
      <w:lvlJc w:val="right"/>
      <w:pPr>
        <w:ind w:left="6480" w:hanging="180"/>
      </w:pPr>
    </w:lvl>
  </w:abstractNum>
  <w:abstractNum w:abstractNumId="83589830">
    <w:multiLevelType w:val="hybridMultilevel"/>
    <w:lvl w:ilvl="0" w:tplc="859303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589830">
    <w:abstractNumId w:val="83589830"/>
  </w:num>
  <w:num w:numId="83589831">
    <w:abstractNumId w:val="835898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04781375" Type="http://schemas.openxmlformats.org/officeDocument/2006/relationships/numbering" Target="numbering.xml"/><Relationship Id="rId380230205"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