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73238837" w:name="document"/>
    <w:bookmarkEnd w:id="73238837"/>
    <w:p/>
    <w:p>
      <w:pPr>
        <w:widowControl w:val="on"/>
        <w:pBdr/>
        <w:spacing w:before="0" w:after="280" w:line="240" w:lineRule="auto"/>
        <w:ind w:left="0" w:right="0"/>
        <w:jc w:val="left"/>
      </w:pPr>
      <w:r>
        <w:rPr>
          <w:rFonts w:ascii="Arial" w:hAnsi="Arial" w:eastAsia="Arial" w:cs="Arial"/>
          <w:color w:val="363A40"/>
          <w:sz w:val="24"/>
          <w:szCs w:val="24"/>
        </w:rPr>
        <w:t xml:space="preserve">Dokument-ID: 359756 | Wolfgang Steinberger |
Muster | Checkliste</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Manager-Dienstverträge – Checkliste</w:t>
      </w:r>
    </w:p>
    <w:p>
      <w:pPr>
        <w:numPr>
          <w:ilvl w:val="0"/>
          <w:numId w:val="22404317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Positionsbeschreibung:</w:t>
      </w:r>
      <w:r>
        <w:rPr>
          <w:rFonts w:ascii="Arial" w:hAnsi="Arial" w:eastAsia="Arial" w:cs="Arial"/>
          <w:color w:val="000000"/>
          <w:sz w:val="20"/>
          <w:szCs w:val="20"/>
        </w:rPr>
        <w:br/>
        <w:t xml:space="preserve">Es ist üblich, in Anstellungsverträgen mit Managern, deren näheren
Tätigkeitsbereich mehr oder weniger exakt zu definieren. Es ist
empfehlenswert, das Betätigungsfeld einerseits möglichst genau zu
beschreiben, andererseits aber auch einen gewissen Spielraum für
Modifikationen zu belassen.</w:t>
      </w:r>
    </w:p>
    <w:p>
      <w:pPr>
        <w:numPr>
          <w:ilvl w:val="0"/>
          <w:numId w:val="22404317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Entsendung ins Ausland:</w:t>
      </w:r>
      <w:r>
        <w:rPr>
          <w:rFonts w:ascii="Arial" w:hAnsi="Arial" w:eastAsia="Arial" w:cs="Arial"/>
          <w:color w:val="000000"/>
          <w:sz w:val="20"/>
          <w:szCs w:val="20"/>
        </w:rPr>
        <w:br/>
        <w:t xml:space="preserve">Es ist nicht unüblich, dass Führungskräfte primär im Ausland (zB
einer Tochtergesellschaft oder einer Niederlassung) eingesetzt
werden sollen. In diesem Fall ist österreichisches Recht nur dann
anwendbar, wenn eine solche Rechtswahl getroffen wurde. Die
vertragliche Vereinbarung österreichischen Rechts empfiehlt sich
insbesondere bei „exotischen“ ausländischen Dienstorten.</w:t>
      </w:r>
    </w:p>
    <w:p>
      <w:pPr>
        <w:numPr>
          <w:ilvl w:val="0"/>
          <w:numId w:val="22404317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Entgelt:</w:t>
      </w:r>
      <w:r>
        <w:rPr>
          <w:rFonts w:ascii="Arial" w:hAnsi="Arial" w:eastAsia="Arial" w:cs="Arial"/>
          <w:color w:val="000000"/>
          <w:sz w:val="20"/>
          <w:szCs w:val="20"/>
        </w:rPr>
        <w:br/>
        <w:t xml:space="preserve">Auf eine genaue Umschreibung der einzelnen Bezüge wie Naturalbezüge
(zB Dienstwagen, Dienstwohnung) und Geldbezüge ist zu achten. Ist
ein Gehaltsbestandteil erfolgsbezogen, ist darauf zu achten, dass
die Berechnungsgröße exakt definiert ist.</w:t>
      </w:r>
    </w:p>
    <w:p>
      <w:pPr>
        <w:numPr>
          <w:ilvl w:val="0"/>
          <w:numId w:val="22404317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Wettbewerbsverbot, Konkurrenzklausel:</w:t>
      </w:r>
      <w:r>
        <w:rPr>
          <w:rFonts w:ascii="Arial" w:hAnsi="Arial" w:eastAsia="Arial" w:cs="Arial"/>
          <w:color w:val="000000"/>
          <w:sz w:val="20"/>
          <w:szCs w:val="20"/>
        </w:rPr>
        <w:br/>
        <w:t xml:space="preserve">Trotz gesetzlicher Regelung (§ 7 Abs 1
Angestelltengesetz, § 79 Aktiengesetz, § 24 GmbHG) ist
die Vereinbarung eines Wettbewerbsverbotes nicht untypisch. Auch
die Vereinbarung eines nachvertraglichen Wettbewerbsverbotes ist
möglich, wobei ein solches (zumindest im Anwendungsbereich des
Angestelltengesetzes) keine unbillige Erschwerung des Fortkommens
des Dienstnehmers zur Folge haben darf.</w:t>
      </w:r>
    </w:p>
    <w:p>
      <w:pPr>
        <w:numPr>
          <w:ilvl w:val="0"/>
          <w:numId w:val="22404317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Steuer und Sozialversicherung:</w:t>
      </w:r>
      <w:r>
        <w:rPr>
          <w:rFonts w:ascii="Arial" w:hAnsi="Arial" w:eastAsia="Arial" w:cs="Arial"/>
          <w:color w:val="000000"/>
          <w:sz w:val="20"/>
          <w:szCs w:val="20"/>
        </w:rPr>
        <w:br/>
        <w:t xml:space="preserve">Überlegungen in dieser Hinsicht sind gerade bei „Familien-GmbHs“
zentrale Punkte. Bei der Vertragsgestaltung ist auch an
„begleitende Maßnahmen“ zu denken. Um dem Geschäftsführer zB die
Vorteile eines Dienstverhältnisses in steuerrechtlicher Hinsicht zu
ermöglichen, wäre zB die Abtretung eines „Teils“ des
Geschäftsanteils in Betracht zu ziehen. Bei einer Beteiligung von
mehr als 25 % liegt in steuerrechtlicher Hinsicht (§ 22
Z 2 Einkommenssteuergesetz) kein Dienstverhältnis mehr
vor.</w:t>
      </w:r>
    </w:p>
    <w:p>
      <w:pPr>
        <w:numPr>
          <w:ilvl w:val="0"/>
          <w:numId w:val="22404317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Vertragsdauer:</w:t>
      </w:r>
      <w:r>
        <w:rPr>
          <w:rFonts w:ascii="Arial" w:hAnsi="Arial" w:eastAsia="Arial" w:cs="Arial"/>
          <w:color w:val="000000"/>
          <w:sz w:val="20"/>
          <w:szCs w:val="20"/>
        </w:rPr>
        <w:br/>
        <w:t xml:space="preserve">Gerade bei Anstellungsverträgen mit Vorstandsmitgliedern von
Aktiengesellschaften ist darauf zu achten, dass der
Anstellungsvertrag mit der Dauer der Organfunktion übereinstimmt.
Auch eine „Koppelungsklausel“, dass im Falle der vorzeitigen
Abberufung auch der Anstellungsvertrag erlischt, ist möglich.</w:t>
      </w:r>
    </w:p>
    <w:p>
      <w:pPr>
        <w:numPr>
          <w:ilvl w:val="0"/>
          <w:numId w:val="22404317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Entgeltfortzahlung, Urlaub, Abfertigung:</w:t>
      </w:r>
      <w:r>
        <w:rPr>
          <w:rFonts w:ascii="Arial" w:hAnsi="Arial" w:eastAsia="Arial" w:cs="Arial"/>
          <w:color w:val="000000"/>
          <w:sz w:val="20"/>
          <w:szCs w:val="20"/>
        </w:rPr>
        <w:br/>
        <w:t xml:space="preserve">Bei Anstellungsverträgen, die nicht dem Angestelltengesetz
unterliegen, sind diese Punkte regelungsbedürftig, da sonst kein
Anspruch darauf besteht.</w:t>
      </w:r>
    </w:p>
    <w:p>
      <w:pPr>
        <w:numPr>
          <w:ilvl w:val="0"/>
          <w:numId w:val="22404317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Pensionsregelung:</w:t>
      </w:r>
      <w:r>
        <w:rPr>
          <w:rFonts w:ascii="Arial" w:hAnsi="Arial" w:eastAsia="Arial" w:cs="Arial"/>
          <w:color w:val="000000"/>
          <w:sz w:val="20"/>
          <w:szCs w:val="20"/>
        </w:rPr>
        <w:br/>
        <w:t xml:space="preserve">Bei der Formulierung der Pensionszusage besteht ein großer
vertraglicher Gestaltungsspielraum. Es ist auch überlegenswert,
eine solche Pensionsregelung einer gesonderten Vereinbarung
vorzubehalten.</w:t>
      </w:r>
    </w:p>
    <w:p>
      <w:pPr>
        <w:numPr>
          <w:ilvl w:val="0"/>
          <w:numId w:val="22404317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Vertretungskosten:</w:t>
      </w:r>
      <w:r>
        <w:rPr>
          <w:rFonts w:ascii="Arial" w:hAnsi="Arial" w:eastAsia="Arial" w:cs="Arial"/>
          <w:color w:val="000000"/>
          <w:sz w:val="20"/>
          <w:szCs w:val="20"/>
        </w:rPr>
        <w:br/>
        <w:t xml:space="preserve">Es ist nicht unüblich, dass die Gesellschaft dem Manager, der im
Zusammenhang mit seiner beruflichen Tätigkeit in ein gerichtliches
oder verwaltungsstrafrechtliches Verfahren involviert ist, die
auflaufenden Kosten der Rechtsverteidigung ersetzt. Auch die
Bevorschussung solcher Kosten kann vereinbart werden.</w:t>
      </w:r>
    </w:p>
    <w:p>
      <w:pPr>
        <w:numPr>
          <w:ilvl w:val="0"/>
          <w:numId w:val="22404317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Kontrollwechsel:</w:t>
      </w:r>
      <w:r>
        <w:rPr>
          <w:rFonts w:ascii="Arial" w:hAnsi="Arial" w:eastAsia="Arial" w:cs="Arial"/>
          <w:color w:val="000000"/>
          <w:sz w:val="20"/>
          <w:szCs w:val="20"/>
        </w:rPr>
        <w:br/>
        <w:t xml:space="preserve">Dem Manager kann die Möglichkeit eingeräumt werden bei einer
wesentlichen Änderung der Beteiligungsverhältnisse an der
Gesellschaft (allenfalls auch bei deren Muttergesellschaft) seinen
Anstellungsvertrag vorzeitig zu kündigen. Kündigungsfrist und die
finanzielle Abgeltung des Managers sind in diesem Fall genau zu
regeln. Auch der Tatbestand des Kontrollwechsels bedarf einer
exakten Definition.</w:t>
      </w:r>
    </w:p>
    <w:p>
      <w:pPr>
        <w:numPr>
          <w:ilvl w:val="0"/>
          <w:numId w:val="22404317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Datenschutz:</w:t>
      </w:r>
      <w:r>
        <w:rPr>
          <w:rFonts w:ascii="Arial" w:hAnsi="Arial" w:eastAsia="Arial" w:cs="Arial"/>
          <w:color w:val="000000"/>
          <w:sz w:val="20"/>
          <w:szCs w:val="20"/>
        </w:rPr>
        <w:br/>
        <w:t xml:space="preserve">Gelegentlich wird neben einer allgemeinen
Geheimhaltungsvereinbarung geregelt, dass der Manager die ihm aus
beruflicher Tätigkeit bekannt gewordenen Daten geheim zu halten hat
und dies auch für Computerprogramme und Codes gilt.</w:t>
      </w:r>
    </w:p>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24043178">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271239753">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15985686">
    <w:multiLevelType w:val="hybridMultilevel"/>
    <w:lvl w:ilvl="0" w:tplc="69627095">
      <w:start w:val="1"/>
      <w:numFmt w:val="decimal"/>
      <w:lvlText w:val="%1."/>
      <w:lvlJc w:val="left"/>
      <w:pPr>
        <w:ind w:left="720" w:hanging="360"/>
      </w:pPr>
    </w:lvl>
    <w:lvl w:ilvl="1" w:tplc="69627095" w:tentative="1">
      <w:start w:val="1"/>
      <w:numFmt w:val="lowerLetter"/>
      <w:lvlText w:val="%2."/>
      <w:lvlJc w:val="left"/>
      <w:pPr>
        <w:ind w:left="1440" w:hanging="360"/>
      </w:pPr>
    </w:lvl>
    <w:lvl w:ilvl="2" w:tplc="69627095" w:tentative="1">
      <w:start w:val="1"/>
      <w:numFmt w:val="lowerRoman"/>
      <w:lvlText w:val="%3."/>
      <w:lvlJc w:val="right"/>
      <w:pPr>
        <w:ind w:left="2160" w:hanging="180"/>
      </w:pPr>
    </w:lvl>
    <w:lvl w:ilvl="3" w:tplc="69627095" w:tentative="1">
      <w:start w:val="1"/>
      <w:numFmt w:val="decimal"/>
      <w:lvlText w:val="%4."/>
      <w:lvlJc w:val="left"/>
      <w:pPr>
        <w:ind w:left="2880" w:hanging="360"/>
      </w:pPr>
    </w:lvl>
    <w:lvl w:ilvl="4" w:tplc="69627095" w:tentative="1">
      <w:start w:val="1"/>
      <w:numFmt w:val="lowerLetter"/>
      <w:lvlText w:val="%5."/>
      <w:lvlJc w:val="left"/>
      <w:pPr>
        <w:ind w:left="3600" w:hanging="360"/>
      </w:pPr>
    </w:lvl>
    <w:lvl w:ilvl="5" w:tplc="69627095" w:tentative="1">
      <w:start w:val="1"/>
      <w:numFmt w:val="lowerRoman"/>
      <w:lvlText w:val="%6."/>
      <w:lvlJc w:val="right"/>
      <w:pPr>
        <w:ind w:left="4320" w:hanging="180"/>
      </w:pPr>
    </w:lvl>
    <w:lvl w:ilvl="6" w:tplc="69627095" w:tentative="1">
      <w:start w:val="1"/>
      <w:numFmt w:val="decimal"/>
      <w:lvlText w:val="%7."/>
      <w:lvlJc w:val="left"/>
      <w:pPr>
        <w:ind w:left="5040" w:hanging="360"/>
      </w:pPr>
    </w:lvl>
    <w:lvl w:ilvl="7" w:tplc="69627095" w:tentative="1">
      <w:start w:val="1"/>
      <w:numFmt w:val="lowerLetter"/>
      <w:lvlText w:val="%8."/>
      <w:lvlJc w:val="left"/>
      <w:pPr>
        <w:ind w:left="5760" w:hanging="360"/>
      </w:pPr>
    </w:lvl>
    <w:lvl w:ilvl="8" w:tplc="69627095" w:tentative="1">
      <w:start w:val="1"/>
      <w:numFmt w:val="lowerRoman"/>
      <w:lvlText w:val="%9."/>
      <w:lvlJc w:val="right"/>
      <w:pPr>
        <w:ind w:left="6480" w:hanging="180"/>
      </w:pPr>
    </w:lvl>
  </w:abstractNum>
  <w:abstractNum w:abstractNumId="15985685">
    <w:multiLevelType w:val="hybridMultilevel"/>
    <w:lvl w:ilvl="0" w:tplc="4348960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5985685">
    <w:abstractNumId w:val="15985685"/>
  </w:num>
  <w:num w:numId="15985686">
    <w:abstractNumId w:val="15985686"/>
  </w:num>
  <w:num w:numId="271239753">
    <w:abstractNumId w:val="271239753"/>
  </w:num>
  <w:num w:numId="224043178">
    <w:abstractNumId w:val="22404317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840967046" Type="http://schemas.openxmlformats.org/officeDocument/2006/relationships/numbering" Target="numbering.xml"/><Relationship Id="rId809171590"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