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9497449" w:name="document"/>
    <w:bookmarkEnd w:id="79497449"/>
    <w:p/>
    <w:p>
      <w:pPr>
        <w:widowControl w:val="on"/>
        <w:pBdr/>
        <w:spacing w:before="0" w:after="280" w:line="240" w:lineRule="auto"/>
        <w:ind w:left="0" w:right="0"/>
        <w:jc w:val="left"/>
      </w:pPr>
      <w:r>
        <w:rPr>
          <w:rFonts w:ascii="Arial" w:hAnsi="Arial" w:eastAsia="Arial" w:cs="Arial"/>
          <w:color w:val="363A40"/>
          <w:sz w:val="24"/>
          <w:szCs w:val="24"/>
        </w:rPr>
        <w:t xml:space="preserve">Dokument-ID: 738206 | Wolfgang Steinberger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Standard-Software-Kaufvertrag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„Verkäufer“ genannt,</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im Folgenden „Käufer“ genannt,</w:t>
      </w:r>
    </w:p>
    <w:p>
      <w:pPr>
        <w:widowControl w:val="on"/>
        <w:pBdr/>
        <w:spacing w:before="140" w:after="240" w:line="288" w:lineRule="auto"/>
        <w:ind w:left="0" w:right="0"/>
        <w:jc w:val="left"/>
      </w:pPr>
      <w:r>
        <w:rPr>
          <w:rFonts w:ascii="Arial" w:hAnsi="Arial" w:eastAsia="Arial" w:cs="Arial"/>
          <w:color w:val="000000"/>
          <w:sz w:val="20"/>
          <w:szCs w:val="20"/>
        </w:rPr>
        <w:t xml:space="preserve">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Gegenstand dieses Vertrages ist die Überlassung einer Kopie der
Software … nebst Benutzerhandbuch durch den Verkäufer an den
Käufer.</w:t>
      </w:r>
    </w:p>
    <w:p>
      <w:pPr>
        <w:widowControl w:val="on"/>
        <w:pBdr/>
        <w:spacing w:before="140" w:after="240" w:line="288" w:lineRule="auto"/>
        <w:ind w:left="0" w:right="0"/>
        <w:jc w:val="left"/>
      </w:pPr>
      <w:r>
        <w:rPr>
          <w:rFonts w:ascii="Arial" w:hAnsi="Arial" w:eastAsia="Arial" w:cs="Arial"/>
          <w:color w:val="000000"/>
          <w:sz w:val="20"/>
          <w:szCs w:val="20"/>
        </w:rPr>
        <w:t xml:space="preserve">Die Installation und die Wartung der vertragsgegenständlichen
Software auf der Hardware des Käufers ist nicht Gegenstand dieses
Vertrages. Der Verkäufer übernimmt keinerlei Verantwortung für die
korrekte Einrichtung bzw Installation durch den Käufer selbst oder
durch Dritte.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Pflichten des Verkäufers</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Der Verkäufer verkauft dem Käufer eine Kopie der
vertragsgegenständlichen Software gemäß Punkt I. dieses Vertrages,
die sich auf einer DVD (oder einem ähnlichen Datenträger)
befindet.</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Der Verkäufer verkauft dem Käufer eine Kopie der
vertragsgegenständlichen Software gemäß Punkt I. dieses Vertrages,
welche der Verkäufer dem Käufer unter der Internetadresse: http://…
bzw Plattform zum Download bereithält.</w:t>
      </w:r>
    </w:p>
    <w:p>
      <w:pPr>
        <w:widowControl w:val="on"/>
        <w:pBdr/>
        <w:spacing w:before="140" w:after="240" w:line="288" w:lineRule="auto"/>
        <w:ind w:left="0" w:right="0"/>
        <w:jc w:val="left"/>
      </w:pPr>
      <w:r>
        <w:rPr>
          <w:rFonts w:ascii="Arial" w:hAnsi="Arial" w:eastAsia="Arial" w:cs="Arial"/>
          <w:color w:val="277DB9"/>
          <w:sz w:val="20"/>
          <w:szCs w:val="20"/>
        </w:rPr>
        <w:t xml:space="preserve">Das Benutzerhandbuch zu der vertragsgegenständlichen Software
gemäß Punkt I. dieses Vertrages ist ebenfalls Bestandteil des
Kaufgegenstandes.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w:t>
      </w:r>
      <w:r>
        <w:rPr>
          <w:rFonts w:ascii="Arial" w:hAnsi="Arial" w:eastAsia="Arial" w:cs="Arial"/>
          <w:b/>
          <w:bCs/>
          <w:color w:val="363A40"/>
          <w:sz w:val="28"/>
          <w:szCs w:val="28"/>
        </w:rPr>
        <w:t xml:space="preserve">Nutzungsrechte</w:t>
      </w:r>
      <w:bookmarkStart w:id="60972132" w:name="link1"/>
      <w:bookmarkEnd w:id="60972132"/>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die Software zu vervielfältigen,
soweit die jeweilige Vervielfältigung für die Benutzung des
Programms notwendig ist. Zu den notwendigen Vervielfältigungen
zählen grundsätzlich nur die Installationen des Programms vom
Original-Datenträger auf die Festplatte des Käufers sowie das
jeweilige Laden in den Arbeitsspeicher der Hardware des Käufers
sowie alle anderen ephemeren Vervielfältigungen aufgrund technisch
für die Installation bzw den Betrieb zwingend notwendiger
Prozesse.</w:t>
      </w:r>
    </w:p>
    <w:p>
      <w:pPr>
        <w:widowControl w:val="on"/>
        <w:pBdr/>
        <w:spacing w:before="140" w:after="240" w:line="288" w:lineRule="auto"/>
        <w:ind w:left="0" w:right="0"/>
        <w:jc w:val="left"/>
      </w:pPr>
      <w:r>
        <w:rPr>
          <w:rFonts w:ascii="Arial" w:hAnsi="Arial" w:eastAsia="Arial" w:cs="Arial"/>
          <w:color w:val="000000"/>
          <w:sz w:val="20"/>
          <w:szCs w:val="20"/>
        </w:rPr>
        <w:t xml:space="preserve">Die Anfertigung einer Sicherungskopie durch den Käufer ist
ebenfalls nach dem durch das Urheberrechtsgesetz festgelegten
Rahmen zulässig.</w:t>
      </w:r>
    </w:p>
    <w:p>
      <w:pPr>
        <w:widowControl w:val="on"/>
        <w:pBdr/>
        <w:spacing w:before="140" w:after="240" w:line="288" w:lineRule="auto"/>
        <w:ind w:left="0" w:right="0"/>
        <w:jc w:val="left"/>
      </w:pPr>
      <w:r>
        <w:rPr>
          <w:rFonts w:ascii="Arial" w:hAnsi="Arial" w:eastAsia="Arial" w:cs="Arial"/>
          <w:color w:val="000000"/>
          <w:sz w:val="20"/>
          <w:szCs w:val="20"/>
        </w:rPr>
        <w:t xml:space="preserve">Unzulässig ist der Einsatz der Software in einem Netzwerk des
Käufers in einer Weise, die es ermöglicht, dass mehrere Mitarbeiter
des Käufers zeitgleich mit der Software arbeiten. Insbesondere die
Nutzung mittels Terminal-Lösungen ist untersagt.</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die vertragsgegenständliche Software
auf jeder ihm zur Verfügung stehenden Hardware einzusetzen. Sofern
der Käufer die eingesetzte Hardware wechseln möchte, ist er
verpflichtet, die Software von der bisher benutzten Hardware zu
entfernen. Unzulässig ist der Einsatz der Software auf mehreren
Hardwaresystemen des Käufers zur gleichen Zeit.</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im Fall der Weitergabe der Software verpflichtet,
dem Verkäufer Namen und vollständige Anschrift des Dritten in
Schriftform mitzuteilen.</w:t>
      </w:r>
    </w:p>
    <w:p>
      <w:pPr>
        <w:widowControl w:val="on"/>
        <w:pBdr/>
        <w:spacing w:before="140" w:after="240" w:line="288" w:lineRule="auto"/>
        <w:ind w:left="0" w:right="0"/>
        <w:jc w:val="left"/>
      </w:pPr>
      <w:r>
        <w:rPr>
          <w:rFonts w:ascii="Arial" w:hAnsi="Arial" w:eastAsia="Arial" w:cs="Arial"/>
          <w:color w:val="000000"/>
          <w:sz w:val="20"/>
          <w:szCs w:val="20"/>
        </w:rPr>
        <w:t xml:space="preserve">Das Recht zur Weitergabe der Software an Dritte ist
ausgeschlossen, wenn der begründete Verdacht besteht, der Dritte
werde diese Vertragsbedingungen oder die Urheberrechte des
Verkäufers verletzen.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Pflichten des </w:t>
      </w:r>
      <w:r>
        <w:rPr>
          <w:rFonts w:ascii="Arial" w:hAnsi="Arial" w:eastAsia="Arial" w:cs="Arial"/>
          <w:b/>
          <w:bCs/>
          <w:color w:val="363A40"/>
          <w:sz w:val="28"/>
          <w:szCs w:val="28"/>
        </w:rPr>
        <w:t xml:space="preserve">Käufers</w:t>
      </w:r>
      <w:bookmarkStart w:id="90966995" w:name="link2"/>
      <w:bookmarkEnd w:id="90966995"/>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ist verpflichtet, den unbefugten Zugriff auf die
Software durch Dritte durch geeignete Vorkehrungen zu verhindern.
Originaldatenträger und Sicherungskopien sind an einem gegen den
unberechtigten Zugriff Dritter gesicherten Ort aufzubewahren. Die
Mitarbeiter des Käufers sind über die Bedingungen dieses Vertrages
und die Urheberrechte des Verkäufers zu belehren.</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verpflichtet, jede Änderung der Software zu
unterlassen, soweit dies nicht der Mängelbehebung der Software
dient und der Verkäufer mit der Mängelbehebung im Verzug ist und
davon in Kenntnis gesetzt wurde.</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ferner verpflichtet, die Rückübersetzung des
überlassenen Programms in andere Codeformen (Dekompilierung) sofern
diese nicht gesetzlich, insbesondere nach § 40e UrhG, explizit
zulässig sind, zu unterlassen.</w:t>
      </w:r>
    </w:p>
    <w:p>
      <w:pPr>
        <w:widowControl w:val="on"/>
        <w:pBdr/>
        <w:spacing w:before="140" w:after="240" w:line="288" w:lineRule="auto"/>
        <w:ind w:left="0" w:right="0"/>
        <w:jc w:val="left"/>
      </w:pPr>
      <w:r>
        <w:rPr>
          <w:rFonts w:ascii="Arial" w:hAnsi="Arial" w:eastAsia="Arial" w:cs="Arial"/>
          <w:color w:val="000000"/>
          <w:sz w:val="20"/>
          <w:szCs w:val="20"/>
        </w:rPr>
        <w:t xml:space="preserve">Dem Käufer ist es untersagt, Merkmale, die der Kenntlichmachung
der Urheberschaft des Verkäufers oder der Verhinderung der
Herstellung von Raubkopien dienen, zu entfernen.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Untersuchungs- und </w:t>
      </w:r>
      <w:r>
        <w:rPr>
          <w:rFonts w:ascii="Arial" w:hAnsi="Arial" w:eastAsia="Arial" w:cs="Arial"/>
          <w:b/>
          <w:bCs/>
          <w:color w:val="363A40"/>
          <w:sz w:val="28"/>
          <w:szCs w:val="28"/>
        </w:rPr>
        <w:t xml:space="preserve">Rügepflicht</w:t>
      </w:r>
      <w:bookmarkStart w:id="65466340" w:name="link3"/>
      <w:bookmarkEnd w:id="65466340"/>
      <w:hyperlink w:anchor="note3" w:history="1">
        <w:r>
          <w:rPr>
            <w:rFonts w:ascii="Arial" w:hAnsi="Arial" w:eastAsia="Arial" w:cs="Arial"/>
            <w:b/>
            <w:bCs/>
            <w:color w:val="006BB6"/>
            <w:position w:val="6"/>
            <w:sz w:val="31"/>
            <w:szCs w:val="31"/>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Der Käufer wird die gelieferte Software einschließlich des
Benutzerhandbuchs innerhalb von zwei Wochen nach Lieferung
untersuchen. Dies gilt insbesondere im Hinblick auf die
Vollständigkeit der Software und des Benutzerhandbuchs sowie der
Funktionsfähigkeit grundlegender Programmfunktionen. Mängel, die
hiebei festgestellt werden oder ohne Weiteres feststellbar sind,
müssen dem Verkäufer innerhalb einer weiteren Woche in Schriftform
mitgeteilt werden. Der Mangel ist detailliert zu spezifizieren.</w:t>
      </w:r>
    </w:p>
    <w:p>
      <w:pPr>
        <w:widowControl w:val="on"/>
        <w:pBdr/>
        <w:spacing w:before="140" w:after="240" w:line="288" w:lineRule="auto"/>
        <w:ind w:left="0" w:right="0"/>
        <w:jc w:val="left"/>
      </w:pPr>
      <w:r>
        <w:rPr>
          <w:rFonts w:ascii="Arial" w:hAnsi="Arial" w:eastAsia="Arial" w:cs="Arial"/>
          <w:color w:val="000000"/>
          <w:sz w:val="20"/>
          <w:szCs w:val="20"/>
        </w:rPr>
        <w:t xml:space="preserve">Mängel der Software oder des Benutzerhandbuchs, die im Rahmen
der ordnungsgemäßen Untersuchung nicht feststellbar sind, müssen
innerhalb einer Woche nach deren Entdeckung in Schriftform
mitgeteilt werden.</w:t>
      </w:r>
    </w:p>
    <w:p>
      <w:pPr>
        <w:widowControl w:val="on"/>
        <w:pBdr/>
        <w:spacing w:before="140" w:after="240" w:line="288" w:lineRule="auto"/>
        <w:ind w:left="0" w:right="0"/>
        <w:jc w:val="left"/>
      </w:pPr>
      <w:r>
        <w:rPr>
          <w:rFonts w:ascii="Arial" w:hAnsi="Arial" w:eastAsia="Arial" w:cs="Arial"/>
          <w:color w:val="000000"/>
          <w:sz w:val="20"/>
          <w:szCs w:val="20"/>
        </w:rPr>
        <w:t xml:space="preserve">Die vertragsgegenständliche Software gilt als mängelfrei
abgenommen, wenn dem Verkäufer nicht innerhalb von … Tagen ab
Lieferung eine schriftliche Mängelrüge zugeht. Bei Verletzung der
Untersuchungs- oder Rügepflicht gilt die Software hinsichtlich des
betreffenden Mangels als genehmigt.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 und </w:t>
      </w:r>
      <w:r>
        <w:rPr>
          <w:rFonts w:ascii="Arial" w:hAnsi="Arial" w:eastAsia="Arial" w:cs="Arial"/>
          <w:b/>
          <w:bCs/>
          <w:color w:val="363A40"/>
          <w:sz w:val="28"/>
          <w:szCs w:val="28"/>
        </w:rPr>
        <w:t xml:space="preserve">Haftung</w:t>
      </w:r>
      <w:bookmarkStart w:id="71157997" w:name="link4"/>
      <w:bookmarkEnd w:id="71157997"/>
      <w:hyperlink w:anchor="note4" w:history="1">
        <w:r>
          <w:rPr>
            <w:rFonts w:ascii="Arial" w:hAnsi="Arial" w:eastAsia="Arial" w:cs="Arial"/>
            <w:b/>
            <w:bCs/>
            <w:color w:val="006BB6"/>
            <w:position w:val="6"/>
            <w:sz w:val="31"/>
            <w:szCs w:val="31"/>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Für Mängel der Software haftet der Verkäufer nach Maßgabe der
gesetzlichen Bestimmungen.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w:t>
      </w:r>
      <w:r>
        <w:rPr>
          <w:rFonts w:ascii="Arial" w:hAnsi="Arial" w:eastAsia="Arial" w:cs="Arial"/>
          <w:b/>
          <w:bCs/>
          <w:color w:val="363A40"/>
          <w:sz w:val="28"/>
          <w:szCs w:val="28"/>
        </w:rPr>
        <w:t xml:space="preserve">Kaufpreis</w:t>
      </w:r>
      <w:bookmarkStart w:id="45400934" w:name="link5"/>
      <w:bookmarkEnd w:id="45400934"/>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Als Kaufpreis für die vertragsgegenständliche Software wird ein
Betrag von EUR … zuzüglich der gesetzlichen Mehrwertsteuer
vereinbart. Der Kaufpreis ist binnen einer Woche ab Abnahme der
gelieferten Software zur Zahlung fällig.</w:t>
      </w:r>
    </w:p>
    <w:p>
      <w:pPr>
        <w:widowControl w:val="on"/>
        <w:pBdr/>
        <w:spacing w:before="140" w:after="240" w:line="288" w:lineRule="auto"/>
        <w:ind w:left="0" w:right="0"/>
        <w:jc w:val="left"/>
      </w:pPr>
      <w:r>
        <w:rPr>
          <w:rFonts w:ascii="Arial" w:hAnsi="Arial" w:eastAsia="Arial" w:cs="Arial"/>
          <w:color w:val="000000"/>
          <w:sz w:val="20"/>
          <w:szCs w:val="20"/>
        </w:rPr>
        <w:t xml:space="preserve">Im Fall des Zahlungsverzuges ist der Käufer zur Zahlung von
Verzugszinsen in der Höhe von 7 % pa verpflichtet.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Schlussbestimmungen</w:t>
      </w:r>
    </w:p>
    <w:p>
      <w:pPr>
        <w:widowControl w:val="on"/>
        <w:pBdr/>
        <w:spacing w:before="140" w:after="240" w:line="288" w:lineRule="auto"/>
        <w:ind w:left="0" w:right="0"/>
        <w:jc w:val="left"/>
      </w:pPr>
      <w:r>
        <w:rPr>
          <w:rFonts w:ascii="Arial" w:hAnsi="Arial" w:eastAsia="Arial" w:cs="Arial"/>
          <w:color w:val="000000"/>
          <w:sz w:val="20"/>
          <w:szCs w:val="20"/>
        </w:rPr>
        <w:t xml:space="preserve">Auf den vorliegenden Vertrag ist ausschließlich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Abänderungen und Zusätze zu dieser Vereinbarung sind nur
rechtswirksam, wenn sie in Schriftform erfolgen. Ein Abgehen von
diesem Erfordernis bedarf ebenfalls der Schriftform.</w:t>
      </w:r>
    </w:p>
    <w:p>
      <w:pPr>
        <w:widowControl w:val="on"/>
        <w:pBdr/>
        <w:spacing w:before="140" w:after="240" w:line="288" w:lineRule="auto"/>
        <w:ind w:left="0" w:right="0"/>
        <w:jc w:val="left"/>
      </w:pPr>
      <w:r>
        <w:rPr>
          <w:rFonts w:ascii="Arial" w:hAnsi="Arial" w:eastAsia="Arial" w:cs="Arial"/>
          <w:color w:val="000000"/>
          <w:sz w:val="20"/>
          <w:szCs w:val="20"/>
        </w:rPr>
        <w:t xml:space="preserve">Sollten eine oder mehrere in diesem Vertrag enthaltene
Bestimmungen nichtig oder unwirksam sein oder ihre Wirksamkeit
durch spätere Umstände verlieren oder eine von beiden Parteien
einvernehmlich festgestellte Vertragslücke bestehen, so wird
hiedurch die Gültigkeit der übrigen Bestimmungen nicht berührt. Die
Vertragsparteien verpflichten sich für diesen Fall, den Vertrag
durch eine dem rechtlichen und wirtschaftlichen Zweck der
ungültigen oder unvollständigen Vertragsbestimmung entsprechend
wirksame Bestimmung zu ergänzen.</w:t>
      </w:r>
    </w:p>
    <w:p>
      <w:pPr>
        <w:widowControl w:val="on"/>
        <w:pBdr/>
        <w:spacing w:before="140" w:after="240" w:line="288" w:lineRule="auto"/>
        <w:ind w:left="0" w:right="0"/>
        <w:jc w:val="left"/>
      </w:pPr>
      <w:r>
        <w:rPr>
          <w:rFonts w:ascii="Arial" w:hAnsi="Arial" w:eastAsia="Arial" w:cs="Arial"/>
          <w:color w:val="000000"/>
          <w:sz w:val="20"/>
          <w:szCs w:val="20"/>
        </w:rPr>
        <w:t xml:space="preserve">Diese Vereinbarung wird in einem Original errichtet, welches dem
Käufer gebührt.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erhält eine Kopie.</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Verkäufer]</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Käufer]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8332934" w:name="note1"/>
            <w:bookmarkEnd w:id="68332934"/>
            <w:bookmarkStart w:id="6109597485969" w:name="note1"/>
            <w:r>
              <w:rPr>
                <w:rFonts w:ascii="Arial" w:hAnsi="Arial" w:eastAsia="Arial" w:cs="Arial"/>
                <w:b/>
                <w:bCs/>
                <w:color w:val="000000"/>
                <w:position w:val="0"/>
                <w:sz w:val="20"/>
                <w:szCs w:val="20"/>
              </w:rPr>
              <w:t xml:space="preserve">[1]</w:t>
            </w:r>
            <w:bookmarkEnd w:id="610959748596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III.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hat jedermann das Recht, von einem Werk einzelne
Vervielfältigungsstücke zum eigenen (privaten) Gebrauch
herzustellen (auch ohne vertragliche Vereinbarung). Eine
Vervielfältigung zum eigenen oder privaten Gebrauch liegt
allerdings nicht vor, wenn sie zu dem Zweck vorgenommen wird, das
Werk mit Hilfe des Vervielfältigungsstückes der Öffentlichkeit
zugänglich zu machen, oder wenn hiefür eine offensichtlich
rechtswidrig hergestellte oder öffentlich zugänglich gemachte
Vorlage verwendet wird. Diese Klarstellung erfolgte aufgrund der
Judikatur des EuGH (C 435/12) und wurde bereits in § 42
Abs 5 UrhG integriert.</w:t>
            </w:r>
          </w:p>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 zur Weitergabe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Urteile „usedSoft“ brachten wichtige Klarstellungen
bezüglich des Handels mit gebrauchter Software und hatten
erhebliche Auswirkungen auf die Softwareindustrie. In den
Entscheidungen des Europäischen Gerichtshofs in den Fällen
„UsedSoft GmbH gegen Oracle International Corp.“ (2012) und
„UsedSoft GmbH gegen Microsoft Corp.“ (2012) wurde festgestellt,
dass der Weiterverkauf von gebrauchten Softwarelizenzen
grundsätzlich legal ist, sofern bestimmte Voraussetzungen erfüllt
sind. Eine der entscheidenden Erkenntnisse aus diesen Urteilen war
die Bestätigung der Erschöpfung des Verbreitungsrechts bei der
erstmaligen Veräußerung einer Softwarelizenz innerhalb des
Europäischen Wirtschaftsraums (EWR). Dies bedeutet, dass der
Inhaber des Urheberrechts seine Kontrolle über die Verbreitung der
Software verliert, sobald er sie erstmals legal verkauft hat. Daher
darf der Käufer einer solchen Lizenz die Software weiterverkaufen,
selbst wenn die Lizenz ursprünglich als nicht übertragbar
gekennzeichnet war. Diese Entscheidungen stärkten die Rechte von
Verbrauchern, da sie den Aufbau eines legalen Sekundärmarkts für
Softwarelizenzen ermöglichen. Unternehmen und Einzelpersonen können
nun gebrauchte Softwarelizenzen erwerben und nutzen, was zu einer
größeren Flexibilität und potenziellen Kosteneinsparungen führt.
Gleichzeitig haben diese Urteile auch Auswirkungen auf die
Geschäftsmodelle der Softwarehersteller, da sie dazu gezwungen
sind, ihre Lizenzierungspraktiken und -richtlinien zu überdenken,
um den neuen rechtlichen Rahmenbedingungen gerecht zu werden.</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175627" w:name="note2"/>
            <w:bookmarkEnd w:id="69175627"/>
            <w:bookmarkStart w:id="8287772267803" w:name="note2"/>
            <w:r>
              <w:rPr>
                <w:rFonts w:ascii="Arial" w:hAnsi="Arial" w:eastAsia="Arial" w:cs="Arial"/>
                <w:b/>
                <w:bCs/>
                <w:color w:val="000000"/>
                <w:position w:val="0"/>
                <w:sz w:val="20"/>
                <w:szCs w:val="20"/>
              </w:rPr>
              <w:t xml:space="preserve">[2]</w:t>
            </w:r>
            <w:bookmarkEnd w:id="828777226780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IV.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 einer Änderung des Werkes bedarf es des Einverständnisses
aller Miturheber gem § 11 Abs 2 UrhG.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Code eines Computerprogramms darf vervielfältigt und seine
Codeform übersetzt (dekompiliert) werden, sofern bestimmte
Voraussetzungen erfüllt sind (zB zur Herstellung der
Interoperabilität). Der Ausnahmenkatalog findet sich in § 40e
Abs 2 UrhG. Dabei handelt es sich um zwingendes Recht, von dem
vertraglich nicht abgewichen werden kann!</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090873" w:name="note3"/>
            <w:bookmarkEnd w:id="36090873"/>
            <w:bookmarkStart w:id="7626468417791" w:name="note3"/>
            <w:r>
              <w:rPr>
                <w:rFonts w:ascii="Arial" w:hAnsi="Arial" w:eastAsia="Arial" w:cs="Arial"/>
                <w:b/>
                <w:bCs/>
                <w:color w:val="000000"/>
                <w:position w:val="0"/>
                <w:sz w:val="20"/>
                <w:szCs w:val="20"/>
              </w:rPr>
              <w:t xml:space="preserve">[3]</w:t>
            </w:r>
            <w:bookmarkEnd w:id="762646841779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ist wohl nur zwischen Unternehmen möglich, denn
Gewährleistungsrechte des Verbrauchers (§§ 922 bis 933 ABGB)
können vor Kenntnis des Mangels gem § 9 Abs 1 KSchG nicht
wirksam ausgeschlossen oder eingeschränkt werden. Die vorstehenden
Vertragsbestimmungen erinnern an eine Rügepflicht nach § 377
UGB.</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886017" w:name="note4"/>
            <w:bookmarkEnd w:id="3886017"/>
            <w:bookmarkStart w:id="4069147914002" w:name="note4"/>
            <w:r>
              <w:rPr>
                <w:rFonts w:ascii="Arial" w:hAnsi="Arial" w:eastAsia="Arial" w:cs="Arial"/>
                <w:b/>
                <w:bCs/>
                <w:color w:val="000000"/>
                <w:position w:val="0"/>
                <w:sz w:val="20"/>
                <w:szCs w:val="20"/>
              </w:rPr>
              <w:t xml:space="preserve">[4]</w:t>
            </w:r>
            <w:bookmarkEnd w:id="406914791400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europäischer Ebene wurde eine Richtlinie über bestimmte
vertragliche Aspekte der Bereitstellung digitaler Inhalte
geschaffen. Die rechtlichen Konsequenzen insbesondere für das
Gewährleistungsrecht sind weitreichend. Umfasst sein sollen
digitale Inhalte und Dienstleistungen aller Art, auch auf
physischen Datenträgern. Die Umsetzung soll voraussichtlich im Juli
2021 geschehen. Eine der wesentlichsten Auswirkungen liegt darin,
dass ein so genannter „objektiver Fehlerbegriff“ eingeführt wird.
Dies bedeutet letztlich die Festlegung von Mindestkriterien für die
Leistungsfähigkeit (zB Kompatibilität etc), deren Unterschreitung
hinsichtlich Verbraucher nur mehr durch komplexe Opt-out-Modelle
erreicht werden können.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514243" w:name="note5"/>
            <w:bookmarkEnd w:id="77514243"/>
            <w:bookmarkStart w:id="7339505488373" w:name="note5"/>
            <w:r>
              <w:rPr>
                <w:rFonts w:ascii="Arial" w:hAnsi="Arial" w:eastAsia="Arial" w:cs="Arial"/>
                <w:b/>
                <w:bCs/>
                <w:color w:val="000000"/>
                <w:position w:val="0"/>
                <w:sz w:val="20"/>
                <w:szCs w:val="20"/>
              </w:rPr>
              <w:t xml:space="preserve">[5]</w:t>
            </w:r>
            <w:bookmarkEnd w:id="733950548837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 VII.</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6 Abs 1 Z 13 KSchG dürfen die im Fall des
Verzugs des Verbrauchers zu zahlenden Zinsen den für den Fall
vertragsgemäßer Zahlung vereinbarten Zinssatz nicht um mehr als
fünf Prozentpunkte pro Jahr übersteigen. Gem § 1000 Abs 1
ABGB sind 4 % festgelegt, weshalb gesamt maximal 9 %
möglich sind. Dies gilt freilich nicht zwischen Unternehmern. Bei
der Verzögerung der Zahlung von Geldforderungen beträgt der
gesetzliche Zinssatz gem § 456 UGB 9,2 Prozentpunkte über dem
Basiszinssatz. Dabei ist der Basiszinssatz, der am ersten
Kalendertag eines Halbjahres gilt, für das jeweilige Halbjahr
maßgebend. Soweit der Schuldner für die Verzögerung aber nicht
verantwortlich ist, hat er nur die in § 1000 Abs 1 ABGB
bestimmten Zinsen zu entrichten.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71128">
    <w:multiLevelType w:val="hybridMultilevel"/>
    <w:lvl w:ilvl="0" w:tplc="99425744">
      <w:start w:val="1"/>
      <w:numFmt w:val="decimal"/>
      <w:lvlText w:val="%1."/>
      <w:lvlJc w:val="left"/>
      <w:pPr>
        <w:ind w:left="720" w:hanging="360"/>
      </w:pPr>
    </w:lvl>
    <w:lvl w:ilvl="1" w:tplc="99425744" w:tentative="1">
      <w:start w:val="1"/>
      <w:numFmt w:val="lowerLetter"/>
      <w:lvlText w:val="%2."/>
      <w:lvlJc w:val="left"/>
      <w:pPr>
        <w:ind w:left="1440" w:hanging="360"/>
      </w:pPr>
    </w:lvl>
    <w:lvl w:ilvl="2" w:tplc="99425744" w:tentative="1">
      <w:start w:val="1"/>
      <w:numFmt w:val="lowerRoman"/>
      <w:lvlText w:val="%3."/>
      <w:lvlJc w:val="right"/>
      <w:pPr>
        <w:ind w:left="2160" w:hanging="180"/>
      </w:pPr>
    </w:lvl>
    <w:lvl w:ilvl="3" w:tplc="99425744" w:tentative="1">
      <w:start w:val="1"/>
      <w:numFmt w:val="decimal"/>
      <w:lvlText w:val="%4."/>
      <w:lvlJc w:val="left"/>
      <w:pPr>
        <w:ind w:left="2880" w:hanging="360"/>
      </w:pPr>
    </w:lvl>
    <w:lvl w:ilvl="4" w:tplc="99425744" w:tentative="1">
      <w:start w:val="1"/>
      <w:numFmt w:val="lowerLetter"/>
      <w:lvlText w:val="%5."/>
      <w:lvlJc w:val="left"/>
      <w:pPr>
        <w:ind w:left="3600" w:hanging="360"/>
      </w:pPr>
    </w:lvl>
    <w:lvl w:ilvl="5" w:tplc="99425744" w:tentative="1">
      <w:start w:val="1"/>
      <w:numFmt w:val="lowerRoman"/>
      <w:lvlText w:val="%6."/>
      <w:lvlJc w:val="right"/>
      <w:pPr>
        <w:ind w:left="4320" w:hanging="180"/>
      </w:pPr>
    </w:lvl>
    <w:lvl w:ilvl="6" w:tplc="99425744" w:tentative="1">
      <w:start w:val="1"/>
      <w:numFmt w:val="decimal"/>
      <w:lvlText w:val="%7."/>
      <w:lvlJc w:val="left"/>
      <w:pPr>
        <w:ind w:left="5040" w:hanging="360"/>
      </w:pPr>
    </w:lvl>
    <w:lvl w:ilvl="7" w:tplc="99425744" w:tentative="1">
      <w:start w:val="1"/>
      <w:numFmt w:val="lowerLetter"/>
      <w:lvlText w:val="%8."/>
      <w:lvlJc w:val="left"/>
      <w:pPr>
        <w:ind w:left="5760" w:hanging="360"/>
      </w:pPr>
    </w:lvl>
    <w:lvl w:ilvl="8" w:tplc="99425744" w:tentative="1">
      <w:start w:val="1"/>
      <w:numFmt w:val="lowerRoman"/>
      <w:lvlText w:val="%9."/>
      <w:lvlJc w:val="right"/>
      <w:pPr>
        <w:ind w:left="6480" w:hanging="180"/>
      </w:pPr>
    </w:lvl>
  </w:abstractNum>
  <w:abstractNum w:abstractNumId="99771127">
    <w:multiLevelType w:val="hybridMultilevel"/>
    <w:lvl w:ilvl="0" w:tplc="91615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71127">
    <w:abstractNumId w:val="99771127"/>
  </w:num>
  <w:num w:numId="99771128">
    <w:abstractNumId w:val="997711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69065619" Type="http://schemas.openxmlformats.org/officeDocument/2006/relationships/numbering" Target="numbering.xml"/><Relationship Id="rId16081143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