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8916394" w:name="document"/>
    <w:bookmarkEnd w:id="58916394"/>
    <w:p/>
    <w:p>
      <w:pPr>
        <w:widowControl w:val="on"/>
        <w:pBdr/>
        <w:spacing w:before="0" w:after="280" w:line="240" w:lineRule="auto"/>
        <w:ind w:left="0" w:right="0"/>
        <w:jc w:val="left"/>
      </w:pPr>
      <w:r>
        <w:rPr>
          <w:rFonts w:ascii="Arial" w:hAnsi="Arial" w:eastAsia="Arial" w:cs="Arial"/>
          <w:color w:val="363A40"/>
          <w:sz w:val="24"/>
          <w:szCs w:val="24"/>
        </w:rPr>
        <w:t xml:space="preserve">Dokument-ID: 984482 | Eva Maria Hajicek -
Stefan Steinkogler - Sascha Jung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Datenschutzvereinbarung –
Auftragsverarbeitung/Subauftragsverarbeitung</w:t>
      </w:r>
    </w:p>
    <w:p>
      <w:pPr>
        <w:widowControl w:val="on"/>
        <w:pBdr/>
        <w:spacing w:before="140" w:after="240" w:line="288" w:lineRule="auto"/>
        <w:ind w:left="0" w:right="0"/>
        <w:jc w:val="right"/>
      </w:pPr>
      <w:r>
        <w:rPr>
          <w:rFonts w:ascii="Arial" w:hAnsi="Arial" w:eastAsia="Arial" w:cs="Arial"/>
          <w:color w:val="000000"/>
          <w:sz w:val="20"/>
          <w:szCs w:val="20"/>
        </w:rPr>
        <w:t xml:space="preserve">… [Datum]</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Datenschutzvereinbarung</w:t>
      </w:r>
    </w:p>
    <w:p>
      <w:pPr>
        <w:widowControl w:val="on"/>
        <w:pBdr/>
        <w:spacing w:before="140" w:after="240" w:line="288" w:lineRule="auto"/>
        <w:ind w:left="0" w:right="0"/>
        <w:jc w:val="center"/>
      </w:pPr>
      <w:r>
        <w:rPr>
          <w:rFonts w:ascii="Arial" w:hAnsi="Arial" w:eastAsia="Arial" w:cs="Arial"/>
          <w:color w:val="000000"/>
          <w:sz w:val="20"/>
          <w:szCs w:val="20"/>
        </w:rPr>
        <w:t xml:space="preserve">Gem Art 28 DSGVO</w:t>
      </w:r>
    </w:p>
    <w:p>
      <w:pPr>
        <w:widowControl w:val="on"/>
        <w:pBdr/>
        <w:spacing w:before="140" w:after="240" w:line="288" w:lineRule="auto"/>
        <w:ind w:left="0" w:right="0"/>
        <w:jc w:val="left"/>
      </w:pPr>
      <w:r>
        <w:rPr>
          <w:rFonts w:ascii="Arial" w:hAnsi="Arial" w:eastAsia="Arial" w:cs="Arial"/>
          <w:color w:val="000000"/>
          <w:sz w:val="20"/>
          <w:szCs w:val="20"/>
        </w:rPr>
        <w:t xml:space="preserve">zwischen</w:t>
      </w:r>
    </w:p>
    <w:p>
      <w:pPr>
        <w:widowControl w:val="on"/>
        <w:pBdr/>
        <w:spacing w:before="140" w:after="240" w:line="288" w:lineRule="auto"/>
        <w:ind w:left="0" w:right="0"/>
        <w:jc w:val="left"/>
      </w:pPr>
      <w:r>
        <w:rPr>
          <w:rFonts w:ascii="Arial" w:hAnsi="Arial" w:eastAsia="Arial" w:cs="Arial"/>
          <w:color w:val="000000"/>
          <w:sz w:val="20"/>
          <w:szCs w:val="20"/>
        </w:rPr>
        <w:t xml:space="preserve">… [Name der natürlichen Person/Namensbezeichnung nach
Firmenbuch-Verantwortlicher]</w:t>
      </w:r>
      <w:r>
        <w:rPr>
          <w:rFonts w:ascii="Arial" w:hAnsi="Arial" w:eastAsia="Arial" w:cs="Arial"/>
          <w:color w:val="000000"/>
          <w:sz w:val="20"/>
          <w:szCs w:val="20"/>
        </w:rPr>
        <w:br/>
        <w:t xml:space="preserve">… [Anschrift]</w:t>
      </w:r>
      <w:r>
        <w:rPr>
          <w:rFonts w:ascii="Arial" w:hAnsi="Arial" w:eastAsia="Arial" w:cs="Arial"/>
          <w:color w:val="000000"/>
          <w:sz w:val="20"/>
          <w:szCs w:val="20"/>
        </w:rPr>
        <w:br/>
        <w:t xml:space="preserve">nachstehend „Verantwortlicher“ genannt</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 [Name der natürlichen Person/Namensbezeichnung nach
Firmenbuch-Auftragsverarbeiter]</w:t>
      </w:r>
      <w:r>
        <w:rPr>
          <w:rFonts w:ascii="Arial" w:hAnsi="Arial" w:eastAsia="Arial" w:cs="Arial"/>
          <w:color w:val="000000"/>
          <w:sz w:val="20"/>
          <w:szCs w:val="20"/>
        </w:rPr>
        <w:br/>
        <w:t xml:space="preserve">… [Anschrift]</w:t>
      </w:r>
      <w:r>
        <w:rPr>
          <w:rFonts w:ascii="Arial" w:hAnsi="Arial" w:eastAsia="Arial" w:cs="Arial"/>
          <w:color w:val="000000"/>
          <w:sz w:val="20"/>
          <w:szCs w:val="20"/>
        </w:rPr>
        <w:br/>
        <w:t xml:space="preserve">nachstehend „Auftragsverarbeiter“ genannt</w:t>
      </w:r>
    </w:p>
    <w:p>
      <w:pPr>
        <w:widowControl w:val="on"/>
        <w:pBdr/>
        <w:spacing w:before="140" w:after="240" w:line="288" w:lineRule="auto"/>
        <w:ind w:left="0" w:right="0"/>
        <w:jc w:val="left"/>
      </w:pPr>
      <w:r>
        <w:rPr>
          <w:rFonts w:ascii="Arial" w:hAnsi="Arial" w:eastAsia="Arial" w:cs="Arial"/>
          <w:color w:val="000000"/>
          <w:sz w:val="20"/>
          <w:szCs w:val="20"/>
        </w:rPr>
        <w:t xml:space="preserve">Der Verantwortliche und der Auftragsverarbeiter haben folgenden
Vertrag abgeschlossen: … [Vertragsbezeichnung], … [Datum]
(nachstehend „Dienstleistungsvertrag“ genannt).</w:t>
      </w:r>
    </w:p>
    <w:p>
      <w:pPr>
        <w:widowControl w:val="on"/>
        <w:pBdr/>
        <w:spacing w:before="140" w:after="240" w:line="288" w:lineRule="auto"/>
        <w:ind w:left="0" w:right="0"/>
        <w:jc w:val="left"/>
      </w:pPr>
      <w:r>
        <w:rPr>
          <w:rFonts w:ascii="Arial" w:hAnsi="Arial" w:eastAsia="Arial" w:cs="Arial"/>
          <w:color w:val="000000"/>
          <w:sz w:val="20"/>
          <w:szCs w:val="20"/>
        </w:rPr>
        <w:t xml:space="preserve">Gem Art 28 Abs 3 DSGVO ist der Verantwortliche
verpflichtet, mit dem Auftragsverarbeiter eine Vereinbarung über
die Verarbeitung von personenbezogenen Daten zu schließen. Mit
dieser Vereinbarung kommt der Verantwortliche dieser Verpflichtung
nach.</w:t>
      </w:r>
    </w:p>
    <w:p>
      <w:pPr>
        <w:widowControl w:val="on"/>
        <w:pBdr/>
        <w:spacing w:before="140" w:after="240" w:line="288" w:lineRule="auto"/>
        <w:ind w:left="0" w:right="0"/>
        <w:jc w:val="left"/>
      </w:pPr>
      <w:r>
        <w:rPr>
          <w:rFonts w:ascii="Arial" w:hAnsi="Arial" w:eastAsia="Arial" w:cs="Arial"/>
          <w:color w:val="000000"/>
          <w:sz w:val="20"/>
          <w:szCs w:val="20"/>
        </w:rPr>
        <w:t xml:space="preserve">Der Auftragsverarbeiter verpflichtet sich, sämtliche Vorgaben
der DSGVO in seiner jeweils geltenden Fassung und der sonstigen
datenschutzrechtlich spezifischen Materiengesetze und Verordnungen
zu beachten.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1:</w:t>
      </w:r>
    </w:p>
    <w:p>
      <w:pPr>
        <w:widowControl w:val="on"/>
        <w:pBdr/>
        <w:spacing w:before="140" w:after="240" w:line="288" w:lineRule="auto"/>
        <w:ind w:left="0" w:right="0"/>
        <w:jc w:val="left"/>
      </w:pPr>
      <w:r>
        <w:rPr>
          <w:rFonts w:ascii="Arial" w:hAnsi="Arial" w:eastAsia="Arial" w:cs="Arial"/>
          <w:color w:val="277DB9"/>
          <w:sz w:val="20"/>
          <w:szCs w:val="20"/>
        </w:rPr>
        <w:t xml:space="preserve">In diesem Zusammenhang werden die folgenden
datenschutzrechtlichen Verpflichtungen festgehalten (Art 28
Abs 3 DSGVO):</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2: Wenn der Dienstleistungsvertrag gleichzeitig mit der
Datenschutzvereinbarung geschlossen wird</w:t>
      </w:r>
    </w:p>
    <w:p>
      <w:pPr>
        <w:widowControl w:val="on"/>
        <w:pBdr/>
        <w:spacing w:before="140" w:after="240" w:line="288" w:lineRule="auto"/>
        <w:ind w:left="0" w:right="0"/>
        <w:jc w:val="left"/>
      </w:pPr>
      <w:r>
        <w:rPr>
          <w:rFonts w:ascii="Arial" w:hAnsi="Arial" w:eastAsia="Arial" w:cs="Arial"/>
          <w:color w:val="277DB9"/>
          <w:sz w:val="20"/>
          <w:szCs w:val="20"/>
        </w:rPr>
        <w:t xml:space="preserve">Im Zusammenhang mit dem … [Vertrag] (nachstehend „…“
[Bezeichnung] genannt) werden die folgenden datenschutzrechtlichen
Verpflichtungen festgehalten (Art 28 Abs 3 DSGVO):</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3: Subauftragsverarbeitung</w:t>
      </w:r>
    </w:p>
    <w:p>
      <w:pPr>
        <w:widowControl w:val="on"/>
        <w:pBdr/>
        <w:spacing w:before="140" w:after="240" w:line="288" w:lineRule="auto"/>
        <w:ind w:left="0" w:right="0"/>
        <w:jc w:val="left"/>
      </w:pPr>
      <w:r>
        <w:rPr>
          <w:rFonts w:ascii="Arial" w:hAnsi="Arial" w:eastAsia="Arial" w:cs="Arial"/>
          <w:color w:val="277DB9"/>
          <w:sz w:val="20"/>
          <w:szCs w:val="20"/>
        </w:rPr>
        <w:t xml:space="preserve">zwischen</w:t>
      </w:r>
    </w:p>
    <w:p>
      <w:pPr>
        <w:widowControl w:val="on"/>
        <w:pBdr/>
        <w:spacing w:before="140" w:after="240" w:line="288" w:lineRule="auto"/>
        <w:ind w:left="0" w:right="0"/>
        <w:jc w:val="left"/>
      </w:pPr>
      <w:r>
        <w:rPr>
          <w:rFonts w:ascii="Arial" w:hAnsi="Arial" w:eastAsia="Arial" w:cs="Arial"/>
          <w:color w:val="277DB9"/>
          <w:sz w:val="20"/>
          <w:szCs w:val="20"/>
        </w:rPr>
        <w:t xml:space="preserve">… [Name der natürlichen Person/Namensbezeichnung nach
Firmenbuch- Verantwortlicher]</w:t>
      </w:r>
      <w:r>
        <w:rPr>
          <w:rFonts w:ascii="Arial" w:hAnsi="Arial" w:eastAsia="Arial" w:cs="Arial"/>
          <w:color w:val="277DB9"/>
          <w:sz w:val="20"/>
          <w:szCs w:val="20"/>
        </w:rPr>
        <w:br/>
        <w:t xml:space="preserve">… [Anschrift]</w:t>
      </w:r>
      <w:r>
        <w:rPr>
          <w:rFonts w:ascii="Arial" w:hAnsi="Arial" w:eastAsia="Arial" w:cs="Arial"/>
          <w:color w:val="277DB9"/>
          <w:sz w:val="20"/>
          <w:szCs w:val="20"/>
        </w:rPr>
        <w:br/>
        <w:t xml:space="preserve">nachstehend „Auftragsverarbeiter“ genannt</w:t>
      </w:r>
    </w:p>
    <w:p>
      <w:pPr>
        <w:widowControl w:val="on"/>
        <w:pBdr/>
        <w:spacing w:before="140" w:after="240" w:line="288" w:lineRule="auto"/>
        <w:ind w:left="0" w:right="0"/>
        <w:jc w:val="left"/>
      </w:pPr>
      <w:r>
        <w:rPr>
          <w:rFonts w:ascii="Arial" w:hAnsi="Arial" w:eastAsia="Arial" w:cs="Arial"/>
          <w:color w:val="277DB9"/>
          <w:sz w:val="20"/>
          <w:szCs w:val="20"/>
        </w:rPr>
        <w:t xml:space="preserve">und</w:t>
      </w:r>
    </w:p>
    <w:p>
      <w:pPr>
        <w:widowControl w:val="on"/>
        <w:pBdr/>
        <w:spacing w:before="140" w:after="240" w:line="288" w:lineRule="auto"/>
        <w:ind w:left="0" w:right="0"/>
        <w:jc w:val="left"/>
      </w:pPr>
      <w:r>
        <w:rPr>
          <w:rFonts w:ascii="Arial" w:hAnsi="Arial" w:eastAsia="Arial" w:cs="Arial"/>
          <w:color w:val="277DB9"/>
          <w:sz w:val="20"/>
          <w:szCs w:val="20"/>
        </w:rPr>
        <w:t xml:space="preserve">… [Name der natürlichen Person/Namensbezeichnung nach
Firmenbuch-Auftragsverarbeiter]</w:t>
      </w:r>
      <w:r>
        <w:rPr>
          <w:rFonts w:ascii="Arial" w:hAnsi="Arial" w:eastAsia="Arial" w:cs="Arial"/>
          <w:color w:val="277DB9"/>
          <w:sz w:val="20"/>
          <w:szCs w:val="20"/>
        </w:rPr>
        <w:br/>
        <w:t xml:space="preserve">… [Anschrift]</w:t>
      </w:r>
      <w:r>
        <w:rPr>
          <w:rFonts w:ascii="Arial" w:hAnsi="Arial" w:eastAsia="Arial" w:cs="Arial"/>
          <w:color w:val="277DB9"/>
          <w:sz w:val="20"/>
          <w:szCs w:val="20"/>
        </w:rPr>
        <w:br/>
        <w:t xml:space="preserve">nachstehend „Subauftragsverarbeiter“ genannt</w:t>
      </w:r>
    </w:p>
    <w:p>
      <w:pPr>
        <w:widowControl w:val="on"/>
        <w:pBdr/>
        <w:spacing w:before="140" w:after="240" w:line="288" w:lineRule="auto"/>
        <w:ind w:left="0" w:right="0"/>
        <w:jc w:val="left"/>
      </w:pPr>
      <w:r>
        <w:rPr>
          <w:rFonts w:ascii="Arial" w:hAnsi="Arial" w:eastAsia="Arial" w:cs="Arial"/>
          <w:color w:val="277DB9"/>
          <w:sz w:val="20"/>
          <w:szCs w:val="20"/>
        </w:rPr>
        <w:t xml:space="preserve">Der Verantwortliche und der Auftragsverarbeiter haben folgenden
Vertrag abgeschlossen: … [Vertragsbezeichnung], … [Datum]
(nachstehend „Dienstleistungsvertrag“ genannt). Der Verantwortliche
hat am … [Datum] das Hinzuziehen eines weiteren
Auftragsverarbeiters genehmigt. Der Auftragsverarbeiter und der
Subauftragsverarbeiter haben folgenden Vertrag abgeschlossen: …
[Vertragsbezeichnung], … [Datum] (nachstehend
„Subdienstleistungsvertrag“ genannt).</w:t>
      </w:r>
    </w:p>
    <w:p>
      <w:pPr>
        <w:widowControl w:val="on"/>
        <w:pBdr/>
        <w:spacing w:before="140" w:after="240" w:line="288" w:lineRule="auto"/>
        <w:ind w:left="0" w:right="0"/>
        <w:jc w:val="left"/>
      </w:pPr>
      <w:r>
        <w:rPr>
          <w:rFonts w:ascii="Arial" w:hAnsi="Arial" w:eastAsia="Arial" w:cs="Arial"/>
          <w:color w:val="277DB9"/>
          <w:sz w:val="20"/>
          <w:szCs w:val="20"/>
        </w:rPr>
        <w:t xml:space="preserve">Gem Art 28 Abs 3 DSGVO ist der Verantwortliche
verpflichtet, mit dem Auftragsverarbeiter eine Vereinbarung über
die Verarbeitung von personenbezogenen Daten zu schließen. Dieser
Verpflichtung ist der Verantwortliche mit Abschluss der
Datenschutzvereinbarung mit dem Auftragsverarbeiter: … [Datum]
nachgekommen. Gem Art 28 Abs 4 DSGVO ist der
Auftragsverarbeiter verpflichtet, mit dem Subauftragsverarbeiter
eine Vereinbarung über die Verarbeitung von personenbezogenen Daten
zu schließen. Dieser Verpflichtung ist der Auftragsverarbeiter mit
Abschluss dieser Datenschutzvereinbarung nachgekommen.</w:t>
      </w:r>
    </w:p>
    <w:p>
      <w:pPr>
        <w:widowControl w:val="on"/>
        <w:pBdr/>
        <w:spacing w:before="140" w:after="240" w:line="288" w:lineRule="auto"/>
        <w:ind w:left="0" w:right="0"/>
        <w:jc w:val="left"/>
      </w:pPr>
      <w:r>
        <w:rPr>
          <w:rFonts w:ascii="Arial" w:hAnsi="Arial" w:eastAsia="Arial" w:cs="Arial"/>
          <w:color w:val="277DB9"/>
          <w:sz w:val="20"/>
          <w:szCs w:val="20"/>
        </w:rPr>
        <w:t xml:space="preserve">Mit dieser Vereinbarung kommt der Verantwortliche dieser
Verpflichtung nach.</w:t>
      </w:r>
    </w:p>
    <w:p>
      <w:pPr>
        <w:widowControl w:val="on"/>
        <w:pBdr/>
        <w:spacing w:before="140" w:after="240" w:line="288" w:lineRule="auto"/>
        <w:ind w:left="0" w:right="0"/>
        <w:jc w:val="left"/>
      </w:pPr>
      <w:r>
        <w:rPr>
          <w:rFonts w:ascii="Arial" w:hAnsi="Arial" w:eastAsia="Arial" w:cs="Arial"/>
          <w:color w:val="277DB9"/>
          <w:sz w:val="20"/>
          <w:szCs w:val="20"/>
        </w:rPr>
        <w:t xml:space="preserve">Der Subauftragsverarbeiter verpflichtet sich, sämtliche Vorgaben
der DSGVO in seiner jeweils geltenden Fassung und der sonstigen
datenschutzrechtlich spezifischen Materiengesetze und Verordnungen
zu </w:t>
      </w:r>
      <w:r>
        <w:rPr>
          <w:rFonts w:ascii="Arial" w:hAnsi="Arial" w:eastAsia="Arial" w:cs="Arial"/>
          <w:color w:val="277DB9"/>
          <w:sz w:val="20"/>
          <w:szCs w:val="20"/>
        </w:rPr>
        <w:t xml:space="preserve">beachten.</w:t>
      </w:r>
      <w:bookmarkStart w:id="23695513" w:name="link1564671375410"/>
      <w:bookmarkEnd w:id="23695513"/>
      <w:hyperlink w:anchor="note1564671375410" w:history="1">
        <w:r>
          <w:rPr>
            <w:rFonts w:ascii="Arial" w:hAnsi="Arial" w:eastAsia="Arial" w:cs="Arial"/>
            <w:b/>
            <w:bCs/>
            <w:color w:val="006BB6"/>
            <w:position w:val="4"/>
            <w:sz w:val="22"/>
            <w:szCs w:val="22"/>
            <w:vertAlign w:val="superscript"/>
          </w:rPr>
          <w:t xml:space="preserve">1564671375410</w:t>
        </w:r>
      </w:hyperlink>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Auftrag</w:t>
      </w:r>
    </w:p>
    <w:p>
      <w:pPr>
        <w:widowControl w:val="on"/>
        <w:pBdr/>
        <w:spacing w:before="140" w:after="240" w:line="288" w:lineRule="auto"/>
        <w:ind w:left="0" w:right="0"/>
        <w:jc w:val="left"/>
      </w:pPr>
      <w:r>
        <w:rPr>
          <w:rFonts w:ascii="Arial" w:hAnsi="Arial" w:eastAsia="Arial" w:cs="Arial"/>
          <w:color w:val="000000"/>
          <w:sz w:val="20"/>
          <w:szCs w:val="20"/>
        </w:rPr>
        <w:t xml:space="preserve">Wesentlicher Inhalt der vorliegenden Vereinbarung ist die
Verarbeitung von personenbezogenen Daten durch den
Auftragsverarbeiter im Auftrag des Verantwortlichen zur Erbringung
von Dienstleistungen zum Zweck der … [genaue und ausführliche
Bezeichnung des Zwecks der Verarbeitung der Daten].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Datenverarbeitung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a)</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Durchzuführende Tätigkeit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Einzelnen sind vom Auftrag folgende durchzuführende
Tätigkeiten umfasst: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[genaue und ausführliche Darstellung der
Verarbeitungstätigkeiten und der Dienstleistungen in
Arbeitsschritten/Arbeitspaketen]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b)</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Datenarten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 Durchführung der vereinbarten Tätigkeit werden aus der
Datenverarbeitung des Verantwortlichen an den Auftragsverarbeiter
folgendermaßen überlassen: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[Verweis auf in der Anlage befindliche Liste der zu
verarbeitenden Daten, alternativ auch Verweis auf einen
(Dienstleistungs)Vertrag, in welchem genau beschrieben wird um
welche Daten es sich hierbei handelt. Alternativ kann man die
folgende Liste hier oder als Beilage einfügen, wenn man sie als
Beilage einfügt, dann muss man hier auf die Beilage verweisen]</w:t>
            </w:r>
          </w:p>
          <w:tbl>
            <w:tblPr>
              <w:tblStyle w:val="NormalTablePHPDOCX"/>
              <w:tblW w:w="5000" w:type="pct"/>
              <w:tblInd w:w="0" w:type="auto"/>
              <w:tblBorders>
                <w:top w:val="single" w:color="000000" w:sz="2"/>
                <w:left w:val="single" w:color="000000" w:sz="2"/>
                <w:bottom w:val="single" w:color="000000" w:sz="2"/>
                <w:right w:val="single" w:color="000000" w:sz="2"/>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Kategorien betroffener Personen:</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Datenkategorien:</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[zB Mitarbeiter, Kunden, Ansprechpersonen von Kunden,
Lieferanten, Zielgruppe etc]</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[zB Name, Adresse, Telefonnummer, Kundennummer etc]</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t>
                  </w:r>
                </w:p>
              </w:tc>
            </w:tr>
          </w:tbl>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Falle von Änderungen der zu verarbeitenden Datenarten und
Datenkategorien werden diese vom Verantwortlichen unverzüglich dem
Auftragsverarbeiter schriftlich zur Kenntnis gebracht. Sofern der
Auftragsverarbeiter binnen 14 Tagen nicht widerspricht, gelten
diese Änderungen ab Kenntnisgabe.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c)</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Datentransfer an den Auftragsverarbeiter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Hinsichtlich des Datentransfers wird Folgendes vereinbart: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[Hier folgt die Vereinbarung wie die Daten übermittelt werden,
hier sind insbesondere die gesetzlichen Modi zu beachten zB für
Gesundheitsdaten im Gesundheitstelematikgesetz, falls kein Modus
festgelegt ist zB: Mittels PGP codiert, vom Verantwortlichen auf
Datenträgern oder via Internet übergeben etc]</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pacing w:before="0" w:after="0" w:line="240" w:lineRule="auto"/>
              <w:ind w:left="0" w:right="0"/>
              <w:jc w:val="left"/>
            </w:pPr>
            <w:r>
              <w:rPr>
                <w:rFonts w:ascii="Arial" w:hAnsi="Arial" w:eastAsia="Arial" w:cs="Arial"/>
                <w:color w:val="363A40"/>
                <w:position w:val="0"/>
                <w:sz w:val="20"/>
                <w:szCs w:val="20"/>
                <w:shd w:val="clear" w:color="auto" w:fill="FFFFFF"/>
              </w:rPr>
              <w:t xml:space="preserve">d)</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Pflichten des Auftragsverarbeiters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wird vereinbart, dass folgende Verpflichtungen des
Auftragsverarbeiters sich auf alle Daten beziehen, auch
hinsichtlich jener, welche nicht personenbezogen sind und über die
der Auftragsverarbeiter nicht oder nicht alleine verfügen darf.</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Auftragsverarbeiter übernimmt folgende Verpflichtungen:</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verarbeitet personenbezogene Daten
ausschließlich auf dokumentierte Weisung des Verantwortlichen. Dies
gilt auch für die Übermittlung personenbezogener Daten an ein
Drittland oder eine internationale Organisation. Eine Verarbeitung
ohne dokumentierte Weisung ist nur zulässig, wenn der
Auftragsverarbeiter hierzu durch das Recht der Europäischen Union
oder das Recht eines Mitgliedstaates verpflichtet ist. In diesem
Fall informiert der Auftragsverarbeiter den Verantwortlichen vor
Beginn der Verarbeitung über die rechtliche Verpflichtung, sofern
das betreffende Recht eine solche Information nicht aus wichtigen
Gründen des öffentlichen Interesses untersagt.</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informiert den Verantwortlichen
unverzüglich, wenn er der Auffassung ist, dass eine Weisung gegen
die DSGVO oder gegen andere Datenschutzbestimmungen der
Europäischen Union oder eines Mitgliedstaates verstößt. Der
Auftragsverarbeiter ist berechtigt, die Durchführung der
betreffenden Weisung auszusetzen, bis der Verantwortliche sie
bestätigt, ändert oder zurücknimmt. Eine Verarbeitung für eigene
Zwecke des Auftragsverarbeiters ist unzulässig. Bestimmt der
Auftragsverarbeiter entgegen dieser Vereinbarung selbst die Zwecke
und Mittel einer Verarbeitung, gilt er hinsichtlich dieser
Verarbeitung gemäß Art 28 Abs 10 DSGVO als
Verantwortlicher.</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trifft alle gem Art 32 DSGVO
erforderlichen technischen und organisatorischen
Sicherheitsmaßnahmen um einen rechtskonformen Schutz der
personenbezogenen Daten der Betroffenen zu bieten. Sämtliche
hierfür gesetzten Maßnahmen werden dem Verantwortlichen in
geeigneter Weise zur Kenntnis gebracht. Es gelten die in Anlage ./A
beschriebenen technischen und organisatorischen
(Sicherheits-)maßnahmen, aus ihnen ergibt sich das vom
Auftragsverarbeiter geschuldete Mindestschutzniveau. Die
technischen und/oder organisatorischen (Sicherheits-)maßnahmen
können im Laufe des Vereinbarungsverhältnisses der technischen und
organisatorischen Weiterentwicklung entsprechend angepasst werden,
sofern dies keine Unterschreitung des festgelegten Schutzniveaus
bewirkt.</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wird die im Auftrag des
Verantwortlichen verarbeiteten Daten strikt von sonstigen Daten bzw
Datenbeständen trennen.</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die vereinbarungsgegenständlichen Tätigkeiten werden
ausschließliche Mitarbeiter herangezogen, welche zur Einhaltung der
Geheimhaltung von personenbezogenen Daten bzw der Vertraulichkeit
vor Verarbeitung bzw Kenntnis dieser Daten verpflichtet wurden oder
einer angemessenen gesetzlichen Verschwiegenheitspflicht
unterliegen (Art 28 Abs 3 lit b DSGVO).</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Verarbeitung der vereinbarungsgegenständlichen Daten durch
weitere Auftragsverarbeiter (nachstehend „Subauftragnehmer“
genannt), insbesondere außerhalb des räumlichen Anwendungsbereichs
der DSGVO (sogenannten Drittländern), ist nur mit ausdrücklicher
vorheriger schriftlicher Zustimmung des Verantwortlichen
rechtmäßig. Der Auftragsverarbeiter schließt mit jedem genehmigten
Subauftragsverarbeiter vor Beginn der Verarbeitung einen
schriftlichen Vertrag oder ein anderes verbindliches
Rechtsinstrument. Darin sind dem Subauftragsverarbeiter dieselben
datenschutzrechtlichen Pflichten aufzuerlegen, die nach dieser
Vereinbarung für den Auftragsverarbeiter gelten. Dies betrifft
insbesondere die Weisungsbindung, die Vertraulichkeit, die
technischen und organisatorischen Maßnahmen, die
Unterstützungspflichten, die Löschung oder Rückgabe der Daten, die
Kontrollrechte und die Anforderungen an
Drittlandübermittlungen.</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darf nur Subauftragsverarbeiter
einsetzen, die hinreichende Garantien für eine DSGVO-konforme
Verarbeitung bieten. Er bleibt gegenüber dem Verantwortlichen für
die Erfüllung der Pflichten des Subauftragsverarbeiters voll
verantwortlich.</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Beauftragung eines weiteren Subauftragsverarbeiters durch
einen genehmigten Subauftragsverarbeiter ist nur mit vorheriger
schriftlicher Genehmigung des Verantwortlichen und unter
Auferlegung derselben datenschutzrechtlichen Pflichten
zulässig.</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hat die Einhaltung der Subauftragnehmer
nach dieser Vereinbarung treffenden (Datenschutz-)Pflichten
regelmäßig zu prüfen, die Prüfergebnisse nachvollziehbar und
vollständig zu dokumentieren und über Anfrage des Verantwortlichen
diesem die Dokumentation uneingeschränkt vorzulegen.</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Kommt der Subauftragnehmer seinen (Datenschutz-)Pflichten nicht
nach, so haftet hierfür der Auftragsverarbeiter gegenüber dem
Verantwortlichen.</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Auftragsverarbeiter unterstützt den Verantwortlichen bei
der Beantwortung der datenschutzrechtlichen Anfragen im Sinne des
Kapitel III der DSGVO von betroffenen Personen, sodass es dem
Verantwortlichen möglich ist die gesetzliche Frist einzuhalten
(Art 28 Abs 3 lit e DSGVO).</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Verantwortliche ist berechtigt, die Einhaltung sämtlicher
maßgeblichen datenschutzrechtlichen Vorschriften sowie die
Einhaltung der Bestimmungen dieser Vereinbarung selbst oder durch
Dritte beim Auftragsverarbeiter zu kontrollieren. Dieses
Kontrollrecht umfasst insbesondere das Recht zur Einholung
entsprechender Auskünfte, zu deren Erteilung der
Auftragsverarbeiter verpflichtet ist, sowie das Recht, sich
entsprechende Belege/Zertifikate oder sonstige Bescheinigungen
Dritter vorlegen zu lassen die entsprechend als Nachweis dienen.
Über Aufforderung hat der Auftragsverarbeiter sämtliche
Informationen zur Verfügung zu stellen, die erforderlich sind, um
die Einhaltung der Pflichten nach Art 28 DSGVO nachzuweisen.
Er ermöglicht Kontrollen und Überprüfungen einschließlich
Inspektionen durch den Verantwortlichen oder einen von diesem
beauftragten Prüfer und wirkt an diesen mit. Der
Auftragsverarbeiter stellt durch seine Verträge mit den
Subauftragsverarbeitern sicher, dass die für eine Überprüfung
erforderlichen Informationen zur Verfügung gestellt werden und
erforderlichenfalls angemessene Kontrollen bei den
Subauftragsverarbeitern ermöglicht werden. Berufsrechtliche
Verschwiegenheitspflichten, Geschäftsgeheimnisse und
Sicherheitsinteressen sind durch geeignete organisatorische
Maßnahmen zu schützen, dürfen das gesetzliche Kontrollrecht jedoch
nicht praktisch ausschließen.</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Kontrollen beim Auftragsverarbeiter bzw beim Subauftragnehmer
haben nach angemessener Vorankündigung zu normalen Geschäftszeiten
und unter möglichst geringer Störung des Geschäftsbetriebs des
Auftragsverarbeiters bzw Subauftragnehmers zu erfolgen. Der
vorstehende Satz gilt nicht für dringliche Fälle, welche der
Verantwortliche nachzuweisen hat.</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Wenn dem Auftragsverarbeiter eine Verletzung des Schutzes
personenbezogener Daten des Verantwortlichen (ungeachtet, ob dieser
data breach auf den Auftragsverarbeiter oder den Verantwortlichen
oder einen sonstigen Dritten zurückzuführen ist) bekannt wird, wird
er diese dem Verantwortlichen unverzüglich melden, die
bekanntgewordene Verletzung einschließlich ihrer Auswirkungen und
der getroffenen Abhilfemaßnahmen dokumentieren und dem
Verantwortlichen diese Dokumentation zur Verfügung stellen. Darüber
hinaus wird er den Verantwortlichen bei dessen Meldung allfälliger
data breaches an die zuständige Aufsichtsbehörde unterstützen und
alle damit im Zusammenhang stehenden Informationen erteilen. Weiter
wird er dem Verantwortlichen alle notwendigen Informationen
bereitstellen, die allenfalls notwendig sind, damit dieser die vom
data breach betroffene(n) Person(en) unverzüglich von der
Verletzung benachrichtigen kann.</w:t>
      </w:r>
    </w:p>
    <w:p>
      <w:pPr>
        <w:numPr>
          <w:ilvl w:val="0"/>
          <w:numId w:val="7114209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Im Zusammenhang mit der beauftragten Datenverarbeitung wird der
Auftragsverarbeiter den Verantwortlichen – soweit gesetzlich
erforderlich – bei der Erstellung und Aktualisierung des
Verzeichnisses der Verarbeitungstätigkeiten sowie bei der
Durchführung der Datenschutzfolgeabschätzung unterstützen und alle
dafür notwendigen Angaben machen und Informationen erteilen.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Ort der Datenverarbeitung</w:t>
      </w:r>
    </w:p>
    <w:p>
      <w:pPr>
        <w:widowControl w:val="on"/>
        <w:pBdr/>
        <w:spacing w:before="140" w:after="240" w:line="288" w:lineRule="auto"/>
        <w:ind w:left="0" w:right="0"/>
        <w:jc w:val="left"/>
      </w:pPr>
      <w:r>
        <w:rPr>
          <w:rFonts w:ascii="Arial" w:hAnsi="Arial" w:eastAsia="Arial" w:cs="Arial"/>
          <w:color w:val="000000"/>
          <w:sz w:val="20"/>
          <w:szCs w:val="20"/>
        </w:rPr>
        <w:t xml:space="preserve">[Wenn außerhalb der EU/EWR eine Datenverarbeitung stattfindet,
müssen die erhöhten Schutzvorschriften iSd Art 44 ff DSGVO
eingehalten werden. Daher sollte der Ort der Verarbeitung explizit
festgehalten werden. Im Falle einer Verarbeitung im Drittland
sollte eine Rechtfertigung vorliegen. Daher ergeben sich folgende
Varianten:]</w:t>
      </w:r>
    </w:p>
    <w:p>
      <w:pPr>
        <w:numPr>
          <w:ilvl w:val="0"/>
          <w:numId w:val="167430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Vereinbarungsgegenständliche Daten werden ausschließlich
innerhalb der EU/EWR verarbeitet.</w:t>
      </w:r>
    </w:p>
    <w:p>
      <w:pPr>
        <w:numPr>
          <w:ilvl w:val="0"/>
          <w:numId w:val="1674307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Verarbeitung vereinbarungsgegenständlicher Daten werden in
… [Nennung des Staates bzw der Staaten] vorgenommen. Das
Datenschutzniveau gilt in diesem Staat/in diesen Staaten aus
folgenden Gründen als angemessen:</w:t>
      </w:r>
      <w:r>
        <w:rPr>
          <w:rFonts w:ascii="Arial" w:hAnsi="Arial" w:eastAsia="Arial" w:cs="Arial"/>
          <w:color w:val="000000"/>
          <w:sz w:val="20"/>
          <w:szCs w:val="20"/>
        </w:rPr>
        <w:br/>
        <w:t xml:space="preserve">… [Nennung des Angemessenheitsbeschlusses gem Art 45 DSGVO,
Vorlage der geeigneten Garantien, genehmigter Verhaltensregeln,
verbindlicher interner Datenschutzklauseln, Ausnahme gem
Art 49 DSGVO etc]</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Vereinbarungsdauer und
Verpflichtungen nach Beendigung dieser Vereinbarung</w:t>
      </w:r>
    </w:p>
    <w:p>
      <w:pPr>
        <w:widowControl w:val="on"/>
        <w:pBdr/>
        <w:spacing w:before="140" w:after="240" w:line="288" w:lineRule="auto"/>
        <w:ind w:left="0" w:right="0"/>
        <w:jc w:val="left"/>
      </w:pPr>
      <w:r>
        <w:rPr>
          <w:rFonts w:ascii="Arial" w:hAnsi="Arial" w:eastAsia="Arial" w:cs="Arial"/>
          <w:color w:val="000000"/>
          <w:sz w:val="20"/>
          <w:szCs w:val="20"/>
        </w:rPr>
        <w:t xml:space="preserve">[Verantwortlicher und Auftragsverarbeiter können die Dauer
dieser Vereinbarung folgendermaßen festlegen: einmalige
Verarbeitung, befristet, unbefristet oder an den Hauptvertrag
gebunden:]</w:t>
      </w:r>
    </w:p>
    <w:p>
      <w:pPr>
        <w:numPr>
          <w:ilvl w:val="0"/>
          <w:numId w:val="2804786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Vereinbarung endet automatisch nach einmaliger
Durchführung der Verarbeitung (siehe auch … Nennung des
Dienstleistungsvertrages …) [oder]</w:t>
      </w:r>
    </w:p>
    <w:p>
      <w:pPr>
        <w:numPr>
          <w:ilvl w:val="0"/>
          <w:numId w:val="2804786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vereinbarungsgegenständliche Befristung ist vom … [Beginn
der Frist] bis … [Ende der Frist bzw Verweis auf die Beendigung des
Dienstleistungsvertrages] [oder]</w:t>
      </w:r>
    </w:p>
    <w:p>
      <w:pPr>
        <w:numPr>
          <w:ilvl w:val="0"/>
          <w:numId w:val="2804786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Vereinbarung wurde auf unbestimmte Zeit geschlossen und
kann nach einer Frist von … [Kündigungsfrist] zum …
[Kündigungstermin] gekündigt werden [oder]</w:t>
      </w:r>
    </w:p>
    <w:p>
      <w:pPr>
        <w:numPr>
          <w:ilvl w:val="0"/>
          <w:numId w:val="28047867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 Vereinbarung ist in ihrer Dauer von dem ihm
zugrundeliegenden Dienstleistungsvertrag abhängig.</w:t>
      </w:r>
    </w:p>
    <w:p>
      <w:pPr>
        <w:widowControl w:val="on"/>
        <w:pBdr/>
        <w:spacing w:before="140" w:after="240" w:line="288" w:lineRule="auto"/>
        <w:ind w:left="0" w:right="0"/>
        <w:jc w:val="left"/>
      </w:pPr>
      <w:r>
        <w:rPr>
          <w:rFonts w:ascii="Arial" w:hAnsi="Arial" w:eastAsia="Arial" w:cs="Arial"/>
          <w:color w:val="000000"/>
          <w:sz w:val="20"/>
          <w:szCs w:val="20"/>
        </w:rPr>
        <w:t xml:space="preserve">Ungeachtet des Fortbestands des Dienstleistungsvertrags ist der
Verantwortliche berechtigt, diese Vereinbarung ohne Einhaltung von
Kündigungsfristen oder Kündigungsterminen aus wichtigem Grund mit
sofortiger Wirkung zu beenden.</w:t>
      </w:r>
    </w:p>
    <w:p>
      <w:pPr>
        <w:widowControl w:val="on"/>
        <w:pBdr/>
        <w:spacing w:before="140" w:after="240" w:line="288" w:lineRule="auto"/>
        <w:ind w:left="0" w:right="0"/>
        <w:jc w:val="left"/>
      </w:pPr>
      <w:r>
        <w:rPr>
          <w:rFonts w:ascii="Arial" w:hAnsi="Arial" w:eastAsia="Arial" w:cs="Arial"/>
          <w:color w:val="000000"/>
          <w:sz w:val="20"/>
          <w:szCs w:val="20"/>
        </w:rPr>
        <w:t xml:space="preserve">Bei Beendigung der Vereinbarung (oder auch jederzeit vorher über
entsprechendes Verlangen des Verantwortlichen) wird der
Auftragsverarbeiter die im Auftrag verarbeiteten Daten
(einschließlich allfälliger Kopien) nach freier Wahl des
Verantwortlichen entweder selbst vernichten oder zur Gänze an den
Verantwortlichen übergeben, sofern dem keine gesetzliche Pflicht
zur Aufbewahrung entgegensteht. Die Vernichtung hat in einer Weise
zu erfolgen, dass eine auch bloß teilweise Wiederherstellung der
gelöschten Daten nicht oder nur mit technisch und wirtschaftlich
unvertretbarem Aufwand möglich ist.</w:t>
      </w:r>
    </w:p>
    <w:p>
      <w:pPr>
        <w:widowControl w:val="on"/>
        <w:pBdr/>
        <w:spacing w:before="140" w:after="240" w:line="288" w:lineRule="auto"/>
        <w:ind w:left="0" w:right="0"/>
        <w:jc w:val="left"/>
      </w:pPr>
      <w:r>
        <w:rPr>
          <w:rFonts w:ascii="Arial" w:hAnsi="Arial" w:eastAsia="Arial" w:cs="Arial"/>
          <w:color w:val="000000"/>
          <w:sz w:val="20"/>
          <w:szCs w:val="20"/>
        </w:rPr>
        <w:t xml:space="preserve">Der Auftragsverarbeiter ist gleichermaßen verpflichtet, die
Vernichtung oder Übergabe durch allfällige Subauftragnehmer
herbeizuführen.</w:t>
      </w:r>
    </w:p>
    <w:p>
      <w:pPr>
        <w:widowControl w:val="on"/>
        <w:pBdr/>
        <w:spacing w:before="140" w:after="240" w:line="288" w:lineRule="auto"/>
        <w:ind w:left="0" w:right="0"/>
        <w:jc w:val="left"/>
      </w:pPr>
      <w:r>
        <w:rPr>
          <w:rFonts w:ascii="Arial" w:hAnsi="Arial" w:eastAsia="Arial" w:cs="Arial"/>
          <w:color w:val="000000"/>
          <w:sz w:val="20"/>
          <w:szCs w:val="20"/>
        </w:rPr>
        <w:t xml:space="preserve">Im Fall der Datenvernichtung hat der Auftragsverarbeiter dem
Verantwortlichen die ordnungsgemäße Durchführung der
Datenvernichtung schriftlich zu bestätigen und nachzuweisen.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Geheimhaltung</w:t>
      </w:r>
    </w:p>
    <w:p>
      <w:pPr>
        <w:widowControl w:val="on"/>
        <w:pBdr/>
        <w:spacing w:before="140" w:after="240" w:line="288" w:lineRule="auto"/>
        <w:ind w:left="0" w:right="0"/>
        <w:jc w:val="left"/>
      </w:pPr>
      <w:r>
        <w:rPr>
          <w:rFonts w:ascii="Arial" w:hAnsi="Arial" w:eastAsia="Arial" w:cs="Arial"/>
          <w:color w:val="000000"/>
          <w:sz w:val="20"/>
          <w:szCs w:val="20"/>
        </w:rPr>
        <w:t xml:space="preserve">Der Verantwortliche und der Auftragsverarbeiter verpflichten
sich zur strikten Geheimhaltung aller Geschäftsgeheimnisse sowie
sonstiger Unterlagen und Informationen, die ihnen aufgrund ihrer
Tätigkeit entsprechend dieser Vereinbarung bekannt werden, dies
auch nach Beendigung dieser Vereinbarung.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Vergütung</w:t>
      </w:r>
    </w:p>
    <w:p>
      <w:pPr>
        <w:widowControl w:val="on"/>
        <w:pBdr/>
        <w:spacing w:before="140" w:after="240" w:line="288" w:lineRule="auto"/>
        <w:ind w:left="0" w:right="0"/>
        <w:jc w:val="left"/>
      </w:pPr>
      <w:r>
        <w:rPr>
          <w:rFonts w:ascii="Arial" w:hAnsi="Arial" w:eastAsia="Arial" w:cs="Arial"/>
          <w:color w:val="000000"/>
          <w:sz w:val="20"/>
          <w:szCs w:val="20"/>
        </w:rPr>
        <w:t xml:space="preserve">Für die Erbringung der Leistungen unter dieser Vereinbarung
erfolgt keine gesonderte Vergütung oder Kostenerstattung zugunsten
des Auftragsverarbeiters. Die Vereinbarungsparteien sind sich
einig, dass die Leistungen unter dieser Vereinbarung durch das im
Dienstleistungsvertrag vereinbarte Entgelt mitabgegolten sind.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Diese Datenschutzvereinbarung ersetzt allfällige frühere
Datenschutzverträge.</w:t>
      </w:r>
    </w:p>
    <w:p>
      <w:pPr>
        <w:widowControl w:val="on"/>
        <w:pBdr/>
        <w:spacing w:before="140" w:after="240" w:line="288" w:lineRule="auto"/>
        <w:ind w:left="0" w:right="0"/>
        <w:jc w:val="left"/>
      </w:pPr>
      <w:r>
        <w:rPr>
          <w:rFonts w:ascii="Arial" w:hAnsi="Arial" w:eastAsia="Arial" w:cs="Arial"/>
          <w:color w:val="000000"/>
          <w:sz w:val="20"/>
          <w:szCs w:val="20"/>
        </w:rPr>
        <w:t xml:space="preserve">Änderungen und Ergänzungen dieser Vereinbarung einschließlich
dieses Punktes bedürfen der Schriftform sowie der Unterschrift
beider Vereinbarungsparteien.</w:t>
      </w:r>
    </w:p>
    <w:p>
      <w:pPr>
        <w:widowControl w:val="on"/>
        <w:pBdr/>
        <w:spacing w:before="140" w:after="240" w:line="288" w:lineRule="auto"/>
        <w:ind w:left="0" w:right="0"/>
        <w:jc w:val="left"/>
      </w:pPr>
      <w:r>
        <w:rPr>
          <w:rFonts w:ascii="Arial" w:hAnsi="Arial" w:eastAsia="Arial" w:cs="Arial"/>
          <w:color w:val="000000"/>
          <w:sz w:val="20"/>
          <w:szCs w:val="20"/>
        </w:rPr>
        <w:t xml:space="preserve">Auf alle Rechtsfragen aus oder im Zusammenhang mit dieser
Vereinbarung einschließlich der Frage seines gültigen
Zustandekommens und seiner Vor- und Nachwirkungen ist …
[Rechtswahl] Recht unter Ausschluss seiner Verweisungsnormen
anzuwenden.</w:t>
      </w:r>
    </w:p>
    <w:p>
      <w:pPr>
        <w:widowControl w:val="on"/>
        <w:pBdr/>
        <w:spacing w:before="140" w:after="240" w:line="288" w:lineRule="auto"/>
        <w:ind w:left="0" w:right="0"/>
        <w:jc w:val="left"/>
      </w:pPr>
      <w:r>
        <w:rPr>
          <w:rFonts w:ascii="Arial" w:hAnsi="Arial" w:eastAsia="Arial" w:cs="Arial"/>
          <w:color w:val="000000"/>
          <w:sz w:val="20"/>
          <w:szCs w:val="20"/>
        </w:rPr>
        <w:t xml:space="preserve">Der Auftragsverarbeiter ist verpflichtet iSv Art 82
Abs 5 DSGVO den Verantwortlichen betreffend aller Ansprüche,
welche in einem Zusammenhang mit dieser Vereinbarung stehen, schad-
und klaglos zu halten.</w:t>
      </w:r>
    </w:p>
    <w:p>
      <w:pPr>
        <w:widowControl w:val="on"/>
        <w:pBdr/>
        <w:spacing w:before="140" w:after="240" w:line="288" w:lineRule="auto"/>
        <w:ind w:left="0" w:right="0"/>
        <w:jc w:val="left"/>
      </w:pPr>
      <w:r>
        <w:rPr>
          <w:rFonts w:ascii="Arial" w:hAnsi="Arial" w:eastAsia="Arial" w:cs="Arial"/>
          <w:color w:val="000000"/>
          <w:sz w:val="20"/>
          <w:szCs w:val="20"/>
        </w:rPr>
        <w:t xml:space="preserve">Der Verantwortliche und der Auftragsverarbeiter vereinbaren für
sämtliche Streitigkeiten aus oder im Zusammenhang mit dieser
Vereinbarung einschließlich der Frage seines gültigen
Zustandekommens und seiner Vor- und Nachwirkungen die
ausschließliche Zuständigkeit des jeweils sachlich zuständigen
Gerichts in … [Stadt].</w:t>
      </w:r>
    </w:p>
    <w:p>
      <w:pPr>
        <w:widowControl w:val="on"/>
        <w:pBdr/>
        <w:spacing w:before="140" w:after="240" w:line="288" w:lineRule="auto"/>
        <w:ind w:left="0" w:right="0"/>
        <w:jc w:val="left"/>
      </w:pPr>
      <w:r>
        <w:rPr>
          <w:rFonts w:ascii="Arial" w:hAnsi="Arial" w:eastAsia="Arial" w:cs="Arial"/>
          <w:color w:val="000000"/>
          <w:sz w:val="20"/>
          <w:szCs w:val="20"/>
        </w:rPr>
        <w:t xml:space="preserve">Sollten Teile dieser Vereinbarung oder Inhalte einer in dieser
Vereinbarung integrierten Anlage ungültig sein oder werden, so wird
dadurch die Wirksamkeit der Vereinbarung im Übrigen nicht berührt.
Verantwortlicher und Auftragsverarbeiter werden die unwirksame
Bestimmung durch eine wirksame Bestimmung ersetzen, die dem
gewollten Zweck der ungültigen Bestimmung sowie dem ursprünglich
vereinbarten Vereinbarungsgleichgewicht möglichst nahekommt.
Dasselbe gilt auch für allfällige Vereinbarungslücken.</w:t>
      </w:r>
    </w:p>
    <w:p>
      <w:pPr>
        <w:widowControl w:val="on"/>
        <w:pBdr/>
        <w:spacing w:before="140" w:after="240" w:line="288" w:lineRule="auto"/>
        <w:ind w:left="0" w:right="0"/>
        <w:jc w:val="left"/>
      </w:pPr>
      <w:r>
        <w:rPr>
          <w:rFonts w:ascii="Arial" w:hAnsi="Arial" w:eastAsia="Arial" w:cs="Arial"/>
          <w:color w:val="000000"/>
          <w:sz w:val="20"/>
          <w:szCs w:val="20"/>
        </w:rPr>
        <w:t xml:space="preserve">Diese Vereinbarung verfügt über eine Anlage ./A (Technische und
organisatorische Maßnahmen), die einen integrierten Bestandteil
dieser Vereinbarung bildet.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pageBreakBefore w:val="on"/>
      </w:pPr>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Anlage ./A Technische und organisatorische Maßnahmen</w:t>
      </w:r>
    </w:p>
    <w:p>
      <w:pPr>
        <w:widowControl w:val="on"/>
        <w:pBdr/>
        <w:spacing w:before="140" w:after="240" w:line="288" w:lineRule="auto"/>
        <w:ind w:left="0" w:right="0"/>
        <w:jc w:val="left"/>
      </w:pPr>
      <w:r>
        <w:rPr>
          <w:rFonts w:ascii="Arial" w:hAnsi="Arial" w:eastAsia="Arial" w:cs="Arial"/>
          <w:color w:val="000000"/>
          <w:sz w:val="20"/>
          <w:szCs w:val="20"/>
        </w:rPr>
        <w:t xml:space="preserve">Folgende technische und organisatorische Maßnahmen wurden vom
Auftragsverarbeiter gesetzt:</w:t>
      </w:r>
    </w:p>
    <w:p>
      <w:pPr>
        <w:widowControl w:val="on"/>
        <w:pBdr/>
        <w:spacing w:before="140" w:after="240" w:line="288" w:lineRule="auto"/>
        <w:ind w:left="0" w:right="0"/>
        <w:jc w:val="left"/>
      </w:pPr>
      <w:r>
        <w:rPr>
          <w:rFonts w:ascii="Arial" w:hAnsi="Arial" w:eastAsia="Arial" w:cs="Arial"/>
          <w:b/>
          <w:bCs/>
          <w:color w:val="000000"/>
          <w:sz w:val="20"/>
          <w:szCs w:val="20"/>
        </w:rPr>
        <w:t xml:space="preserve">Zugangskontrolle:</w:t>
      </w:r>
      <w:r>
        <w:rPr>
          <w:rFonts w:ascii="Arial" w:hAnsi="Arial" w:eastAsia="Arial" w:cs="Arial"/>
          <w:color w:val="000000"/>
          <w:sz w:val="20"/>
          <w:szCs w:val="20"/>
        </w:rPr>
        <w:t xml:space="preserve"> Es wurden die notwendigen
Maßnahmen gesetzt, welche Unbefugten den Zutritt zu den technischen
Einrichtungen verwehren, in welchen die Verarbeitung stattfindet.
(Angaben wie zB versperrter Serverraum, protokollierter Zutritt zum
Serverraum, Sicherung von Fenstern, Türen, Schachtabdeckungen,
Aufzugs- und Filteranlagen, Laptops/PCs/Thin Clients befinden sich
in versperrten Räumen, der Zutritt zu den Räumen wird aufgrund
eines Berechtigungskonzeptes genehmigt, Sichtbares Tragen eines
Ausweises)</w:t>
      </w:r>
    </w:p>
    <w:p>
      <w:pPr>
        <w:widowControl w:val="on"/>
        <w:pBdr/>
        <w:spacing w:before="140" w:after="240" w:line="288" w:lineRule="auto"/>
        <w:ind w:left="0" w:right="0"/>
        <w:jc w:val="left"/>
      </w:pPr>
      <w:r>
        <w:rPr>
          <w:rFonts w:ascii="Arial" w:hAnsi="Arial" w:eastAsia="Arial" w:cs="Arial"/>
          <w:b/>
          <w:bCs/>
          <w:color w:val="000000"/>
          <w:sz w:val="20"/>
          <w:szCs w:val="20"/>
        </w:rPr>
        <w:t xml:space="preserve">Datenträgerkontrolle:</w:t>
      </w:r>
      <w:r>
        <w:rPr>
          <w:rFonts w:ascii="Arial" w:hAnsi="Arial" w:eastAsia="Arial" w:cs="Arial"/>
          <w:color w:val="000000"/>
          <w:sz w:val="20"/>
          <w:szCs w:val="20"/>
        </w:rPr>
        <w:t xml:space="preserve"> Es wurden Maßnahmen
gesetzt, welche unbefugtes Lesen, Kopieren, Verändern oder
Entfernen von Datenträgern verhindern.</w:t>
      </w:r>
    </w:p>
    <w:p>
      <w:pPr>
        <w:widowControl w:val="on"/>
        <w:pBdr/>
        <w:spacing w:before="140" w:after="240" w:line="288" w:lineRule="auto"/>
        <w:ind w:left="0" w:right="0"/>
        <w:jc w:val="left"/>
      </w:pPr>
      <w:r>
        <w:rPr>
          <w:rFonts w:ascii="Arial" w:hAnsi="Arial" w:eastAsia="Arial" w:cs="Arial"/>
          <w:b/>
          <w:bCs/>
          <w:color w:val="000000"/>
          <w:sz w:val="20"/>
          <w:szCs w:val="20"/>
        </w:rPr>
        <w:t xml:space="preserve">Benutzerkontrolle:</w:t>
      </w:r>
      <w:r>
        <w:rPr>
          <w:rFonts w:ascii="Arial" w:hAnsi="Arial" w:eastAsia="Arial" w:cs="Arial"/>
          <w:color w:val="000000"/>
          <w:sz w:val="20"/>
          <w:szCs w:val="20"/>
        </w:rPr>
        <w:t xml:space="preserve"> Es wurden Maßnahmen gesetzt,
welche den Benutzern nach dem „Need-to-know-Prinzip“ Berechtigungen
erteilt und Unbefugte keinen Zugriff auf Daten haben. Zugang zu
personenbezogenen Daten dürfen nur jene haben, welche persönlich
beauftragt sind diese zu verarbeiten – Auftragsprinzip.</w:t>
      </w:r>
    </w:p>
    <w:p>
      <w:pPr>
        <w:widowControl w:val="on"/>
        <w:pBdr/>
        <w:spacing w:before="140" w:after="240" w:line="288" w:lineRule="auto"/>
        <w:ind w:left="0" w:right="0"/>
        <w:jc w:val="left"/>
      </w:pPr>
      <w:r>
        <w:rPr>
          <w:rFonts w:ascii="Arial" w:hAnsi="Arial" w:eastAsia="Arial" w:cs="Arial"/>
          <w:b/>
          <w:bCs/>
          <w:color w:val="000000"/>
          <w:sz w:val="20"/>
          <w:szCs w:val="20"/>
        </w:rPr>
        <w:t xml:space="preserve">Zugriffskontrolle:</w:t>
      </w:r>
      <w:r>
        <w:rPr>
          <w:rFonts w:ascii="Arial" w:hAnsi="Arial" w:eastAsia="Arial" w:cs="Arial"/>
          <w:color w:val="000000"/>
          <w:sz w:val="20"/>
          <w:szCs w:val="20"/>
        </w:rPr>
        <w:t xml:space="preserve"> Es wird gewährleistet, dass
ausschließlich Berechtigte Zugang zu personenbezogenen Daten haben.
Personenbezogene Daten werden mit Hilfe von Pseudonymisierung und
Verschlüsselung vor unbefugten Zugriffen gesichert.</w:t>
      </w:r>
    </w:p>
    <w:p>
      <w:pPr>
        <w:widowControl w:val="on"/>
        <w:pBdr/>
        <w:spacing w:before="140" w:after="240" w:line="288" w:lineRule="auto"/>
        <w:ind w:left="0" w:right="0"/>
        <w:jc w:val="left"/>
      </w:pPr>
      <w:r>
        <w:rPr>
          <w:rFonts w:ascii="Arial" w:hAnsi="Arial" w:eastAsia="Arial" w:cs="Arial"/>
          <w:b/>
          <w:bCs/>
          <w:color w:val="000000"/>
          <w:sz w:val="20"/>
          <w:szCs w:val="20"/>
        </w:rPr>
        <w:t xml:space="preserve">Übertragungskontrolle:</w:t>
      </w:r>
      <w:r>
        <w:rPr>
          <w:rFonts w:ascii="Arial" w:hAnsi="Arial" w:eastAsia="Arial" w:cs="Arial"/>
          <w:color w:val="000000"/>
          <w:sz w:val="20"/>
          <w:szCs w:val="20"/>
        </w:rPr>
        <w:t xml:space="preserve"> Es wird gewährleistet,
dass überprüft und festgestellt werden kann, an wen
personenbezogene Daten übermittelt oder zur Verfügung gestellt
wurden oder werden können.</w:t>
      </w:r>
    </w:p>
    <w:p>
      <w:pPr>
        <w:widowControl w:val="on"/>
        <w:pBdr/>
        <w:spacing w:before="140" w:after="240" w:line="288" w:lineRule="auto"/>
        <w:ind w:left="0" w:right="0"/>
        <w:jc w:val="left"/>
      </w:pPr>
      <w:r>
        <w:rPr>
          <w:rFonts w:ascii="Arial" w:hAnsi="Arial" w:eastAsia="Arial" w:cs="Arial"/>
          <w:b/>
          <w:bCs/>
          <w:color w:val="000000"/>
          <w:sz w:val="20"/>
          <w:szCs w:val="20"/>
        </w:rPr>
        <w:t xml:space="preserve">Eingabekontrolle:</w:t>
      </w:r>
      <w:r>
        <w:rPr>
          <w:rFonts w:ascii="Arial" w:hAnsi="Arial" w:eastAsia="Arial" w:cs="Arial"/>
          <w:color w:val="000000"/>
          <w:sz w:val="20"/>
          <w:szCs w:val="20"/>
        </w:rPr>
        <w:t xml:space="preserve"> Es wird gewährleistet, dass
nachträglich überprüft und festgestellt werden kann, welche
personenbezogenen Daten zu welcher Zeit und von wem eingegeben
worden sind.</w:t>
      </w:r>
    </w:p>
    <w:p>
      <w:pPr>
        <w:widowControl w:val="on"/>
        <w:pBdr/>
        <w:spacing w:before="140" w:after="240" w:line="288" w:lineRule="auto"/>
        <w:ind w:left="0" w:right="0"/>
        <w:jc w:val="left"/>
      </w:pPr>
      <w:r>
        <w:rPr>
          <w:rFonts w:ascii="Arial" w:hAnsi="Arial" w:eastAsia="Arial" w:cs="Arial"/>
          <w:b/>
          <w:bCs/>
          <w:color w:val="000000"/>
          <w:sz w:val="20"/>
          <w:szCs w:val="20"/>
        </w:rPr>
        <w:t xml:space="preserve">Transportkontrolle:</w:t>
      </w:r>
      <w:r>
        <w:rPr>
          <w:rFonts w:ascii="Arial" w:hAnsi="Arial" w:eastAsia="Arial" w:cs="Arial"/>
          <w:color w:val="000000"/>
          <w:sz w:val="20"/>
          <w:szCs w:val="20"/>
        </w:rPr>
        <w:t xml:space="preserve"> Es werden Maßnahmen
getroffen, welche verhindern, dass bei der Übermittlung/Transport
personenbezogener Daten die Daten von Unbefugten gelesen, kopiert,
verändert oder gelöscht werden können. Daten auf mobilen
Datenträgern werden nur von Befugten verwendet und
transportiert.</w:t>
      </w:r>
    </w:p>
    <w:p>
      <w:pPr>
        <w:widowControl w:val="on"/>
        <w:pBdr/>
        <w:spacing w:before="140" w:after="240" w:line="288" w:lineRule="auto"/>
        <w:ind w:left="0" w:right="0"/>
        <w:jc w:val="left"/>
      </w:pPr>
      <w:r>
        <w:rPr>
          <w:rFonts w:ascii="Arial" w:hAnsi="Arial" w:eastAsia="Arial" w:cs="Arial"/>
          <w:b/>
          <w:bCs/>
          <w:color w:val="000000"/>
          <w:sz w:val="20"/>
          <w:szCs w:val="20"/>
        </w:rPr>
        <w:t xml:space="preserve">Wiederherstellung:</w:t>
      </w:r>
      <w:r>
        <w:rPr>
          <w:rFonts w:ascii="Arial" w:hAnsi="Arial" w:eastAsia="Arial" w:cs="Arial"/>
          <w:color w:val="000000"/>
          <w:sz w:val="20"/>
          <w:szCs w:val="20"/>
        </w:rPr>
        <w:t xml:space="preserve"> Es wird gewährleistet, dass
im Störungsfall die Systeme und Daten wiederhergestellt werden
können.</w:t>
      </w:r>
    </w:p>
    <w:p>
      <w:pPr>
        <w:widowControl w:val="on"/>
        <w:pBdr/>
        <w:spacing w:before="140" w:after="240" w:line="288" w:lineRule="auto"/>
        <w:ind w:left="0" w:right="0"/>
        <w:jc w:val="left"/>
      </w:pPr>
      <w:r>
        <w:rPr>
          <w:rFonts w:ascii="Arial" w:hAnsi="Arial" w:eastAsia="Arial" w:cs="Arial"/>
          <w:b/>
          <w:bCs/>
          <w:color w:val="000000"/>
          <w:sz w:val="20"/>
          <w:szCs w:val="20"/>
        </w:rPr>
        <w:t xml:space="preserve">Datenintegrität:</w:t>
      </w:r>
      <w:r>
        <w:rPr>
          <w:rFonts w:ascii="Arial" w:hAnsi="Arial" w:eastAsia="Arial" w:cs="Arial"/>
          <w:color w:val="000000"/>
          <w:sz w:val="20"/>
          <w:szCs w:val="20"/>
        </w:rPr>
        <w:t xml:space="preserve"> Es wird gewährleistet, dass
alle Funktionen des Systems zur Verfügung stehen, alle auftretenden
Fehlfunktionen gemeldet werden und sämtliche gespeicherten
personenbezogenen Daten durch Fehlfunktionen des Systems nicht
beschädigt werden können.</w:t>
      </w:r>
    </w:p>
    <w:p>
      <w:pPr>
        <w:widowControl w:val="on"/>
        <w:pBdr/>
        <w:spacing w:before="140" w:after="240" w:line="288" w:lineRule="auto"/>
        <w:ind w:left="0" w:right="0"/>
        <w:jc w:val="left"/>
      </w:pPr>
      <w:r>
        <w:rPr>
          <w:rFonts w:ascii="Arial" w:hAnsi="Arial" w:eastAsia="Arial" w:cs="Arial"/>
          <w:b/>
          <w:bCs/>
          <w:color w:val="000000"/>
          <w:sz w:val="20"/>
          <w:szCs w:val="20"/>
        </w:rPr>
        <w:t xml:space="preserve">Qualitätskontrolle:</w:t>
      </w:r>
      <w:r>
        <w:rPr>
          <w:rFonts w:ascii="Arial" w:hAnsi="Arial" w:eastAsia="Arial" w:cs="Arial"/>
          <w:color w:val="000000"/>
          <w:sz w:val="20"/>
          <w:szCs w:val="20"/>
        </w:rPr>
        <w:t xml:space="preserve"> Es wird gewährleistet, dass
die technischen und organisatorischen Maßnahmen regelmäßiger
Überprüfungen unterzogen werden und eine Bewertung und Evaluierung
der Wirksamkeit dieser Maßnahmen stattfindet.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047867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6743072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1142094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9059489">
    <w:multiLevelType w:val="hybridMultilevel"/>
    <w:lvl w:ilvl="0" w:tplc="18694256">
      <w:start w:val="1"/>
      <w:numFmt w:val="decimal"/>
      <w:lvlText w:val="%1."/>
      <w:lvlJc w:val="left"/>
      <w:pPr>
        <w:ind w:left="720" w:hanging="360"/>
      </w:pPr>
    </w:lvl>
    <w:lvl w:ilvl="1" w:tplc="18694256" w:tentative="1">
      <w:start w:val="1"/>
      <w:numFmt w:val="lowerLetter"/>
      <w:lvlText w:val="%2."/>
      <w:lvlJc w:val="left"/>
      <w:pPr>
        <w:ind w:left="1440" w:hanging="360"/>
      </w:pPr>
    </w:lvl>
    <w:lvl w:ilvl="2" w:tplc="18694256" w:tentative="1">
      <w:start w:val="1"/>
      <w:numFmt w:val="lowerRoman"/>
      <w:lvlText w:val="%3."/>
      <w:lvlJc w:val="right"/>
      <w:pPr>
        <w:ind w:left="2160" w:hanging="180"/>
      </w:pPr>
    </w:lvl>
    <w:lvl w:ilvl="3" w:tplc="18694256" w:tentative="1">
      <w:start w:val="1"/>
      <w:numFmt w:val="decimal"/>
      <w:lvlText w:val="%4."/>
      <w:lvlJc w:val="left"/>
      <w:pPr>
        <w:ind w:left="2880" w:hanging="360"/>
      </w:pPr>
    </w:lvl>
    <w:lvl w:ilvl="4" w:tplc="18694256" w:tentative="1">
      <w:start w:val="1"/>
      <w:numFmt w:val="lowerLetter"/>
      <w:lvlText w:val="%5."/>
      <w:lvlJc w:val="left"/>
      <w:pPr>
        <w:ind w:left="3600" w:hanging="360"/>
      </w:pPr>
    </w:lvl>
    <w:lvl w:ilvl="5" w:tplc="18694256" w:tentative="1">
      <w:start w:val="1"/>
      <w:numFmt w:val="lowerRoman"/>
      <w:lvlText w:val="%6."/>
      <w:lvlJc w:val="right"/>
      <w:pPr>
        <w:ind w:left="4320" w:hanging="180"/>
      </w:pPr>
    </w:lvl>
    <w:lvl w:ilvl="6" w:tplc="18694256" w:tentative="1">
      <w:start w:val="1"/>
      <w:numFmt w:val="decimal"/>
      <w:lvlText w:val="%7."/>
      <w:lvlJc w:val="left"/>
      <w:pPr>
        <w:ind w:left="5040" w:hanging="360"/>
      </w:pPr>
    </w:lvl>
    <w:lvl w:ilvl="7" w:tplc="18694256" w:tentative="1">
      <w:start w:val="1"/>
      <w:numFmt w:val="lowerLetter"/>
      <w:lvlText w:val="%8."/>
      <w:lvlJc w:val="left"/>
      <w:pPr>
        <w:ind w:left="5760" w:hanging="360"/>
      </w:pPr>
    </w:lvl>
    <w:lvl w:ilvl="8" w:tplc="18694256" w:tentative="1">
      <w:start w:val="1"/>
      <w:numFmt w:val="lowerRoman"/>
      <w:lvlText w:val="%9."/>
      <w:lvlJc w:val="right"/>
      <w:pPr>
        <w:ind w:left="6480" w:hanging="180"/>
      </w:pPr>
    </w:lvl>
  </w:abstractNum>
  <w:abstractNum w:abstractNumId="21515474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3388553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9059488">
    <w:multiLevelType w:val="hybridMultilevel"/>
    <w:lvl w:ilvl="0" w:tplc="44615053">
      <w:start w:val="1"/>
      <w:numFmt w:val="decimal"/>
      <w:lvlText w:val="%1."/>
      <w:lvlJc w:val="left"/>
      <w:pPr>
        <w:ind w:left="720" w:hanging="360"/>
      </w:pPr>
    </w:lvl>
    <w:lvl w:ilvl="1" w:tplc="44615053" w:tentative="1">
      <w:start w:val="1"/>
      <w:numFmt w:val="lowerLetter"/>
      <w:lvlText w:val="%2."/>
      <w:lvlJc w:val="left"/>
      <w:pPr>
        <w:ind w:left="1440" w:hanging="360"/>
      </w:pPr>
    </w:lvl>
    <w:lvl w:ilvl="2" w:tplc="44615053" w:tentative="1">
      <w:start w:val="1"/>
      <w:numFmt w:val="lowerRoman"/>
      <w:lvlText w:val="%3."/>
      <w:lvlJc w:val="right"/>
      <w:pPr>
        <w:ind w:left="2160" w:hanging="180"/>
      </w:pPr>
    </w:lvl>
    <w:lvl w:ilvl="3" w:tplc="44615053" w:tentative="1">
      <w:start w:val="1"/>
      <w:numFmt w:val="decimal"/>
      <w:lvlText w:val="%4."/>
      <w:lvlJc w:val="left"/>
      <w:pPr>
        <w:ind w:left="2880" w:hanging="360"/>
      </w:pPr>
    </w:lvl>
    <w:lvl w:ilvl="4" w:tplc="44615053" w:tentative="1">
      <w:start w:val="1"/>
      <w:numFmt w:val="lowerLetter"/>
      <w:lvlText w:val="%5."/>
      <w:lvlJc w:val="left"/>
      <w:pPr>
        <w:ind w:left="3600" w:hanging="360"/>
      </w:pPr>
    </w:lvl>
    <w:lvl w:ilvl="5" w:tplc="44615053" w:tentative="1">
      <w:start w:val="1"/>
      <w:numFmt w:val="lowerRoman"/>
      <w:lvlText w:val="%6."/>
      <w:lvlJc w:val="right"/>
      <w:pPr>
        <w:ind w:left="4320" w:hanging="180"/>
      </w:pPr>
    </w:lvl>
    <w:lvl w:ilvl="6" w:tplc="44615053" w:tentative="1">
      <w:start w:val="1"/>
      <w:numFmt w:val="decimal"/>
      <w:lvlText w:val="%7."/>
      <w:lvlJc w:val="left"/>
      <w:pPr>
        <w:ind w:left="5040" w:hanging="360"/>
      </w:pPr>
    </w:lvl>
    <w:lvl w:ilvl="7" w:tplc="44615053" w:tentative="1">
      <w:start w:val="1"/>
      <w:numFmt w:val="lowerLetter"/>
      <w:lvlText w:val="%8."/>
      <w:lvlJc w:val="left"/>
      <w:pPr>
        <w:ind w:left="5760" w:hanging="360"/>
      </w:pPr>
    </w:lvl>
    <w:lvl w:ilvl="8" w:tplc="44615053" w:tentative="1">
      <w:start w:val="1"/>
      <w:numFmt w:val="lowerRoman"/>
      <w:lvlText w:val="%9."/>
      <w:lvlJc w:val="right"/>
      <w:pPr>
        <w:ind w:left="6480" w:hanging="180"/>
      </w:pPr>
    </w:lvl>
  </w:abstractNum>
  <w:abstractNum w:abstractNumId="19059487">
    <w:multiLevelType w:val="hybridMultilevel"/>
    <w:lvl w:ilvl="0" w:tplc="796657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059487">
    <w:abstractNumId w:val="19059487"/>
  </w:num>
  <w:num w:numId="19059488">
    <w:abstractNumId w:val="19059488"/>
  </w:num>
  <w:num w:numId="733885538">
    <w:abstractNumId w:val="733885538"/>
  </w:num>
  <w:num w:numId="215154742">
    <w:abstractNumId w:val="215154742"/>
  </w:num>
  <w:num w:numId="19059489">
    <w:abstractNumId w:val="19059489"/>
  </w:num>
  <w:num w:numId="711420941">
    <w:abstractNumId w:val="711420941"/>
  </w:num>
  <w:num w:numId="167430728">
    <w:abstractNumId w:val="167430728"/>
  </w:num>
  <w:num w:numId="280478672">
    <w:abstractNumId w:val="2804786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69853381" Type="http://schemas.openxmlformats.org/officeDocument/2006/relationships/numbering" Target="numbering.xml"/><Relationship Id="rId83788237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