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3997949" w:name="document"/>
    <w:bookmarkEnd w:id="33997949"/>
    <w:p/>
    <w:p>
      <w:pPr>
        <w:widowControl w:val="on"/>
        <w:pBdr/>
        <w:spacing w:before="0" w:after="280" w:line="240" w:lineRule="auto"/>
        <w:ind w:left="0" w:right="0"/>
        <w:jc w:val="left"/>
      </w:pPr>
      <w:r>
        <w:rPr>
          <w:rFonts w:ascii="Arial" w:hAnsi="Arial" w:eastAsia="Arial" w:cs="Arial"/>
          <w:color w:val="363A40"/>
          <w:sz w:val="24"/>
          <w:szCs w:val="24"/>
        </w:rPr>
        <w:t xml:space="preserve">Dokument-ID: 677859 | Wolfgang Steinberger -
Albert Scherzer - Anna Sophie Dalinger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Unternehmenskaufvertrag (kurz)</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heutigen Tage zwischen</w:t>
      </w:r>
    </w:p>
    <w:p>
      <w:pPr>
        <w:widowControl w:val="on"/>
        <w:pBdr/>
        <w:spacing w:before="140" w:after="240" w:line="288" w:lineRule="auto"/>
        <w:ind w:left="0" w:right="0"/>
        <w:jc w:val="left"/>
      </w:pPr>
      <w:r>
        <w:rPr>
          <w:rFonts w:ascii="Arial" w:hAnsi="Arial" w:eastAsia="Arial" w:cs="Arial"/>
          <w:color w:val="000000"/>
          <w:sz w:val="20"/>
          <w:szCs w:val="20"/>
        </w:rPr>
        <w:t xml:space="preserve">Herrn A, Gastwirt,</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 B, kfm Angestellter,</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Käufer andererseits 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betreibt in … unter der Firma … ein Gasthaus.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Herr A verkauft und übergibt und Herr B kauft und übernimmt mit
Wirksamkeit vom … das dem Verkäufer allein gehörende, in Punkt I
näher bezeichnete Unternehmen mit der Firma …, welches unter FN …
im Firmenbuch des Handelsgerichtes Wien eingetragen ist.</w:t>
      </w:r>
    </w:p>
    <w:p>
      <w:pPr>
        <w:widowControl w:val="on"/>
        <w:pBdr/>
        <w:spacing w:before="140" w:after="240" w:line="288" w:lineRule="auto"/>
        <w:ind w:left="0" w:right="0"/>
        <w:jc w:val="left"/>
      </w:pPr>
      <w:r>
        <w:rPr>
          <w:rFonts w:ascii="Arial" w:hAnsi="Arial" w:eastAsia="Arial" w:cs="Arial"/>
          <w:color w:val="000000"/>
          <w:sz w:val="20"/>
          <w:szCs w:val="20"/>
        </w:rPr>
        <w:t xml:space="preserve">Der Käufer kauft das Unternehmen samt allen Aktiven und
Passiven, wie sie in der von beiden Vertragsteilen gemeinsam zu
erstellenden Bilanz zum … verzeichnet sind, samt allem rechtlichen
und physischen Zubehör um den vereinbarten Kaufpreis von EUR …
(in Worten … Euro) zuzüglich der 20%igen Umsatzsteuer von
EUR … (in Worten … Euro), sohin insgesamt um einen Kaufpreis
von EUR … (in Worten … Euro).</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Reinvermögen setzt sich wie folgt zusammen: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das Anlagevermögen (Geschäftseinrichtung)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das Warenlager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den Firmenwert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der Aktiva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Abzüglich Lieferantenverbindlichkeiten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Abzüglich offener Mietzinsforderung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Nettokaufpreis ist Zug um Zug gegen Übergabe des
Kaufgegenstandes am … zur Gänze zur Zahlung fällig, wobei
vereinbart wird, dass die Berichtigung des Kaufpreises durch
Übergabe eines Bankschecks eines inländischen Kreditinstitutes zu
erfolgen hat. Der Bankscheck hat auf den Namen des Verkäufers als
Begünstigten zu lauten.</w:t>
      </w:r>
    </w:p>
    <w:p>
      <w:pPr>
        <w:widowControl w:val="on"/>
        <w:pBdr/>
        <w:spacing w:before="140" w:after="240" w:line="288" w:lineRule="auto"/>
        <w:ind w:left="0" w:right="0"/>
        <w:jc w:val="left"/>
      </w:pPr>
      <w:r>
        <w:rPr>
          <w:rFonts w:ascii="Arial" w:hAnsi="Arial" w:eastAsia="Arial" w:cs="Arial"/>
          <w:color w:val="000000"/>
          <w:sz w:val="20"/>
          <w:szCs w:val="20"/>
        </w:rPr>
        <w:t xml:space="preserve">Die Berichtigung des auf die Umsatzsteuer entfallenden Betrages
von EUR … (in Worten … Euro) erfolgt durch Umbuchung auf den
Steuerkonten der Vertragsteile. Der Käufer übergibt zur
Sicherstellung seiner Verpflichtung eine auf seinen Steuerberater
lautende Vollmacht, welche auch den unwiderruflichen Auftrag
enthält, beim zuständigen Finanzamt den entsprechenden Antrag zu
stellen. Der Verkäufer garantiert, dass der Durchführung dieses
Umbuchungsantrages keinerlei Hindernisse, wie etwa Steuerschulden
oder kurzfristig fällig werdende, die Umbuchung hindernde
Steuerverbindlichkeiten, entgegenstehen.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Vertragsgegenstand wird mit allen Rechten und Befugnissen
verkauft, wie der Verkäufer diesen besessen und benützt hat bzw zu
besitzen und zu benützen berechtigt war.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haftet dafür, dass der Vertragsgegenstand mit
Ausnahme der in der erwähnten Bilanz enthaltenen Verbindlichkeiten
lastenfrei ist.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leistet ausdrücklich Gewähr, dass die Bilanz zum …
vollständig und richtig ist und in Übereinstimmung mit den
Grundsätzen ordnungsgemäßer Buchführung erstellt worden ist.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sichert ausdrücklich zu, dass keine
Verbindlichkeiten beim Finanzamt, der Gebietskrankenkasse,
Gebietskörperschaften sowie bei Kreditinstituten bestehen.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Der Käufer erklärt ausdrücklich, den Vertragsgegenstand zu
kennen, welcher ihm sohin bekannt ist. Er erklärt weiters, sich
auch über den Geschäftsgang durch Einsichtnahme in die Bücher
informiert zu haben.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Verkäufer nicht für einen bestimmten
Umsatz bzw einen bestimmten Ertrag des kaufgegenständlichen
Unternehmens haftet.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Als Stichtag für den Übergang von Besitz, Gefahr, Schaden und
Zufall, Last und Vorteil wird der … vereinbart. Von diesem
Zeitpunkt an hat der Käufer alle das Unternehmen betreffenden
Steuern, Abgaben und Verbindlichkeiten zu tragen, zieht jedoch auch
sämtliche aus dem Unternehmen zu erwirtschaftende Früchte.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dass ihnen die Haftungsbestimmungen
der §§ 1409 ABGB, 67 Abs 4 ASVG und 14 BAO bekannt sind.
Weiter sind ihnen die Bestimmungen der §§ 38, 39 UGB
bekannt.</w:t>
      </w:r>
    </w:p>
    <w:p>
      <w:pPr>
        <w:widowControl w:val="on"/>
        <w:pBdr/>
        <w:spacing w:before="140" w:after="240" w:line="288" w:lineRule="auto"/>
        <w:ind w:left="0" w:right="0"/>
        <w:jc w:val="left"/>
      </w:pPr>
      <w:r>
        <w:rPr>
          <w:rFonts w:ascii="Arial" w:hAnsi="Arial" w:eastAsia="Arial" w:cs="Arial"/>
          <w:color w:val="000000"/>
          <w:sz w:val="20"/>
          <w:szCs w:val="20"/>
        </w:rPr>
        <w:t xml:space="preserve">Sollten entgegen der Zusicherung im Sinne dieses Vertrages
nachträglich Steuern oder Abgabenverbindlichkeiten aus einem
Zeitpunkt vor dem Übergabsstichtag im Sinne dieses Vertrages
geltend gemacht werden, verpflichtet sich der Verkäufer, den Käufer
diesbezüglich schad- und klaglos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keine Dienstnehmer vorhanden sind.</w:t>
      </w:r>
    </w:p>
    <w:p>
      <w:pPr>
        <w:widowControl w:val="on"/>
        <w:pBdr/>
        <w:spacing w:before="140" w:after="240" w:line="288" w:lineRule="auto"/>
        <w:ind w:left="0" w:right="0"/>
        <w:jc w:val="left"/>
      </w:pPr>
      <w:r>
        <w:rPr>
          <w:rFonts w:ascii="Arial" w:hAnsi="Arial" w:eastAsia="Arial" w:cs="Arial"/>
          <w:color w:val="000000"/>
          <w:sz w:val="20"/>
          <w:szCs w:val="20"/>
        </w:rPr>
        <w:t xml:space="preserve">Weiters wird festgehalten, dass der Vermieter von der
Veräußerung des Unternehmens bereits in Kenntnis gesetzt wurde und
über die Höhe des Mietzinses zwischen dem Käufer und dem Vermieter
bereits eine Vereinbarung getroffen wurde.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des Bierbezugsvertrages sowie des Vertrages mit …
wird vereinbart, dass die Vertragspartner unverzüglich nach
Vertragsabschluss in gemeinsamer Abstimmung und in geeigneter Weise
den Dritten gem § 38 Abs 2 UGB hievon verständigen. Der
Verkäufer sichert ausdrücklich zu, sämtliche Handlungen und
Schritte zu unternehmen, damit der etwaige Dritte der Übernahme des
Vertragsverhältnisses durch den Käufer nicht widerspricht.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das Unternehmen unter der bisherigen
Firma mit oder ohne Nachfolgezusatz weiterzuführen.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verpflichtet sich, für die Dauer von zwei Jahren,
gerechnet ab dem Tag der Vertragsunterfertigung, in … weder für
eigene noch für fremde Rechnung ein Gasthaus zu betreiben. Er
verpflichtet sich weiters, ein solches Geschäft auch nicht durch
andere für eigene oder fremde Rechnung betreiben zu lassen und sich
auch an einem solchen Geschäft weder direkt noch indirekt oder in
welcher Art immer zu beteiligen.</w:t>
      </w:r>
    </w:p>
    <w:p>
      <w:pPr>
        <w:widowControl w:val="on"/>
        <w:pBdr/>
        <w:spacing w:before="140" w:after="240" w:line="288" w:lineRule="auto"/>
        <w:ind w:left="0" w:right="0"/>
        <w:jc w:val="left"/>
      </w:pPr>
      <w:r>
        <w:rPr>
          <w:rFonts w:ascii="Arial" w:hAnsi="Arial" w:eastAsia="Arial" w:cs="Arial"/>
          <w:color w:val="000000"/>
          <w:sz w:val="20"/>
          <w:szCs w:val="20"/>
        </w:rPr>
        <w:t xml:space="preserve">Im Falle des Zuwiderhandelns gegen dieses Konkurrenzverbotes
verpflichtet sich der Verkäufer, eine Vertragsstrafe von EUR …
(in Worten … Euro)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sie diesen Vertrag im Einzelnen
ausgehandelt und jede Bestimmung ausführlich besprochen haben. Es
bestehen weder schriftliche noch mündliche Nebenabreden zu diesem
Vertrag. Zusätzliche Vereinbarungen bedürfen zu ihrer
Rechtswirksamkeit grundsätzlich der Schriftform. Dies gilt auch für
ein Abgehen von diesem Schriftformerfordernis.</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so
berührt dies die Wirksamkeit des Restvertrages nicht. Die Parteien
verpflichten sich in diesem Fall, die unwirksame Bestimmung durch
eine wirksame Bestimmung zu ersetzen, die dem angestrebten Zweck in
wirtschaftlicher und rechtlicher Weise am weitesten entspricht.</w:t>
      </w:r>
    </w:p>
    <w:p>
      <w:pPr>
        <w:widowControl w:val="on"/>
        <w:pBdr/>
        <w:spacing w:before="140" w:after="240" w:line="288" w:lineRule="auto"/>
        <w:ind w:left="0" w:right="0"/>
        <w:jc w:val="left"/>
      </w:pPr>
      <w:r>
        <w:rPr>
          <w:rFonts w:ascii="Arial" w:hAnsi="Arial" w:eastAsia="Arial" w:cs="Arial"/>
          <w:color w:val="000000"/>
          <w:sz w:val="20"/>
          <w:szCs w:val="20"/>
        </w:rPr>
        <w:t xml:space="preserve">Für alle mit diesem Vertrag zusammenhängenden Streitigkeiten
wird die Zuständigkeit des sachlich zuständigen Gerichtes in …
vereinbart.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einem Original errichtet, welches dem
Käufer gebührt. Der Verkäufer erhält eine beglaubigte Kopie.</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Vertrages sowie allfällige
öffentliche Abgaben werden vom Käufer getragen.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Verkäufer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Käufer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8825000" w:name="note1"/>
            <w:bookmarkEnd w:id="98825000"/>
            <w:bookmarkStart w:id="8904632393463" w:name="note1"/>
            <w:r>
              <w:rPr>
                <w:rFonts w:ascii="Arial" w:hAnsi="Arial" w:eastAsia="Arial" w:cs="Arial"/>
                <w:b/>
                <w:bCs/>
                <w:color w:val="000000"/>
                <w:position w:val="0"/>
                <w:sz w:val="20"/>
                <w:szCs w:val="20"/>
              </w:rPr>
              <w:t xml:space="preserve">[1]</w:t>
            </w:r>
            <w:bookmarkEnd w:id="890463239346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Wettbewerbsverbot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Wettbewerbsverbote, die dem Veräußerer im Zusammenhang mit der
Übertragung eines Unternehmens auferlegt werden, sind nach der
europäischen Verwaltungspraxis bis zu drei Jahre gerechtfertigt,
wenn zusammen mit dem Unternehmen der Geschäftswert und das
Know-how übertragen werden, ohne letzteres nur zwei Jahre. Ob einer
Vertragspartei durch eine Konkurrenzklausel Beschränkungen im
übergroßen Umfang ohne zeitliche oder örtliche Begrenzungen
auferlegt werden oder ein auffallendes Missverhältnis zwischen den
durch das Verbot zu schützenden Interessen des einen Vertragsteils
und der dem anderen Teil auferlegten Beschränkung besteht, hängt im
Übrigen regelmäßig von den Umständen des Einzelfalls ab (OGH
23.04.2014, 4 Ob 46/14i).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5420701" w:name="note2"/>
            <w:bookmarkEnd w:id="85420701"/>
            <w:bookmarkStart w:id="3979498990990" w:name="note2"/>
            <w:r>
              <w:rPr>
                <w:rFonts w:ascii="Arial" w:hAnsi="Arial" w:eastAsia="Arial" w:cs="Arial"/>
                <w:b/>
                <w:bCs/>
                <w:color w:val="000000"/>
                <w:position w:val="0"/>
                <w:sz w:val="20"/>
                <w:szCs w:val="20"/>
              </w:rPr>
              <w:t xml:space="preserve">[2]</w:t>
            </w:r>
            <w:bookmarkEnd w:id="397949899099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Gewährleistung bei Unternehmenskauf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Entsprechend der Regelung des § 922 ABGB leistet der
Verkäufer dafür Gewähr, dass der Kaufgegenstand die vereinbarten
oder gewöhnlich vorausgesetzten Eigenschaften aufweist. Was genau
unter „gewöhnlich vorausgesetzte Eigenschaften“ hinsichtlich eines
lebenden Unternehmens zu verstehen ist, kann oft nicht einfach
beantwortet werden, da es kein Modellunternehmen gibt, welches zur
Beurteilung einer allfälligen Mangelhaftigkeit herangezogen werden
könnte. Besonders die Frage der künftigen Ertragsfähigkeit ist
hierbei das Hauptproblem. Aus diesem Grund liegt es nahe, den
Kaufgegenstand und seine Eigenschaften im Unternehmenskaufvertrag
möglichst genau zu definieren. Im B2B-Verhältnis bleibt ergänzend
die Rügeobliegenheit des § 377 UGB zu beachten; wird ein
Mangel nicht unverzüglich gerügt, sind Gewährleistungs‑ und
Schadenersatzansprüche regelmäßig präkludiert (§ 922 ABGB;
§ 377 UGB).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515262" w:name="note3"/>
            <w:bookmarkEnd w:id="77515262"/>
            <w:bookmarkStart w:id="625939416535" w:name="note3"/>
            <w:r>
              <w:rPr>
                <w:rFonts w:ascii="Arial" w:hAnsi="Arial" w:eastAsia="Arial" w:cs="Arial"/>
                <w:b/>
                <w:bCs/>
                <w:color w:val="000000"/>
                <w:position w:val="0"/>
                <w:sz w:val="20"/>
                <w:szCs w:val="20"/>
              </w:rPr>
              <w:t xml:space="preserve">[3]</w:t>
            </w:r>
            <w:bookmarkEnd w:id="62593941653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Erwerberhaftung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Erwerberhaftung nach § 38 Abs 4 UGB bezieht sich
auf Verbindlichkeiten aus unternehmensbezogen Rechtsverhältnissen.
Davon sind jedenfalls Vertragsverhältnisse, gesetzliche
Schuldverhältnisse und öffentlich-rechtliche Verbindlichkeiten
erfasst. Ausgenommen ist die Haftung des Erwerbers für
höchstpersönliche Rechtsverhältnisse des Veräußerers.
Rechtsverhältnisse von Unternehmen sind regelmäßig nicht
höchstpersönlicher Natur. Dies gilt auch für Verbindlichkeiten aus
der Begebung von Ergänzungskapital (OGH 26.02.2015, 8 Ob 2/15z).
Der generelle Haftungsausschluss ist zulässig, wird Dritten
gegenüber aber nur wirksam, wenn er (ua) ins Firmenbuch eingetragen
oder auf verkehrsübliche Weise bekannt gemacht bzw individuell
mitgeteilt wird (§ 38 Abs 4 UGB); die Haftung nach
§ 1409 ABGB bleibt davon unberührt und ist zwingend (OGH
26.02.2015, 8 Ob 2/15z).</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099246" w:name="note4"/>
            <w:bookmarkEnd w:id="80099246"/>
            <w:bookmarkStart w:id="3340582648333" w:name="note4"/>
            <w:r>
              <w:rPr>
                <w:rFonts w:ascii="Arial" w:hAnsi="Arial" w:eastAsia="Arial" w:cs="Arial"/>
                <w:b/>
                <w:bCs/>
                <w:color w:val="000000"/>
                <w:position w:val="0"/>
                <w:sz w:val="20"/>
                <w:szCs w:val="20"/>
              </w:rPr>
              <w:t xml:space="preserve">[4]</w:t>
            </w:r>
            <w:bookmarkEnd w:id="334058264833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Publizität und zeitliche Nähe des Haftungsausschlusses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Soll der Haftungsausschluss nach § 38 Abs 4 UGB über
die Firmenbucheintragung publiziert werden, ist er „beim
Unternehmensübergang“ einzutragen; gefordert ist ein enger
zeitlicher Zusammenhang. Nach der Rechtsprechung kann bereits nach
Ablauf von rund einem Monat die erforderliche zeitliche Nähe
verneint werden (6 Ob 80/18k; 6 Ob 79/19i). Ein zu später
Publizitätsakt wahrt die Außenwirkung gegenüber Dritten nicht
(§ 38 Abs 4 UGB; 6 Ob 80/18k; 6 Ob 79/19i; 6 Ob
242/11y).</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554964">
    <w:multiLevelType w:val="hybridMultilevel"/>
    <w:lvl w:ilvl="0" w:tplc="30959048">
      <w:start w:val="1"/>
      <w:numFmt w:val="decimal"/>
      <w:lvlText w:val="%1."/>
      <w:lvlJc w:val="left"/>
      <w:pPr>
        <w:ind w:left="720" w:hanging="360"/>
      </w:pPr>
    </w:lvl>
    <w:lvl w:ilvl="1" w:tplc="30959048" w:tentative="1">
      <w:start w:val="1"/>
      <w:numFmt w:val="lowerLetter"/>
      <w:lvlText w:val="%2."/>
      <w:lvlJc w:val="left"/>
      <w:pPr>
        <w:ind w:left="1440" w:hanging="360"/>
      </w:pPr>
    </w:lvl>
    <w:lvl w:ilvl="2" w:tplc="30959048" w:tentative="1">
      <w:start w:val="1"/>
      <w:numFmt w:val="lowerRoman"/>
      <w:lvlText w:val="%3."/>
      <w:lvlJc w:val="right"/>
      <w:pPr>
        <w:ind w:left="2160" w:hanging="180"/>
      </w:pPr>
    </w:lvl>
    <w:lvl w:ilvl="3" w:tplc="30959048" w:tentative="1">
      <w:start w:val="1"/>
      <w:numFmt w:val="decimal"/>
      <w:lvlText w:val="%4."/>
      <w:lvlJc w:val="left"/>
      <w:pPr>
        <w:ind w:left="2880" w:hanging="360"/>
      </w:pPr>
    </w:lvl>
    <w:lvl w:ilvl="4" w:tplc="30959048" w:tentative="1">
      <w:start w:val="1"/>
      <w:numFmt w:val="lowerLetter"/>
      <w:lvlText w:val="%5."/>
      <w:lvlJc w:val="left"/>
      <w:pPr>
        <w:ind w:left="3600" w:hanging="360"/>
      </w:pPr>
    </w:lvl>
    <w:lvl w:ilvl="5" w:tplc="30959048" w:tentative="1">
      <w:start w:val="1"/>
      <w:numFmt w:val="lowerRoman"/>
      <w:lvlText w:val="%6."/>
      <w:lvlJc w:val="right"/>
      <w:pPr>
        <w:ind w:left="4320" w:hanging="180"/>
      </w:pPr>
    </w:lvl>
    <w:lvl w:ilvl="6" w:tplc="30959048" w:tentative="1">
      <w:start w:val="1"/>
      <w:numFmt w:val="decimal"/>
      <w:lvlText w:val="%7."/>
      <w:lvlJc w:val="left"/>
      <w:pPr>
        <w:ind w:left="5040" w:hanging="360"/>
      </w:pPr>
    </w:lvl>
    <w:lvl w:ilvl="7" w:tplc="30959048" w:tentative="1">
      <w:start w:val="1"/>
      <w:numFmt w:val="lowerLetter"/>
      <w:lvlText w:val="%8."/>
      <w:lvlJc w:val="left"/>
      <w:pPr>
        <w:ind w:left="5760" w:hanging="360"/>
      </w:pPr>
    </w:lvl>
    <w:lvl w:ilvl="8" w:tplc="30959048" w:tentative="1">
      <w:start w:val="1"/>
      <w:numFmt w:val="lowerRoman"/>
      <w:lvlText w:val="%9."/>
      <w:lvlJc w:val="right"/>
      <w:pPr>
        <w:ind w:left="6480" w:hanging="180"/>
      </w:pPr>
    </w:lvl>
  </w:abstractNum>
  <w:abstractNum w:abstractNumId="44554963">
    <w:multiLevelType w:val="hybridMultilevel"/>
    <w:lvl w:ilvl="0" w:tplc="844731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554963">
    <w:abstractNumId w:val="44554963"/>
  </w:num>
  <w:num w:numId="44554964">
    <w:abstractNumId w:val="445549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73226172" Type="http://schemas.openxmlformats.org/officeDocument/2006/relationships/numbering" Target="numbering.xml"/><Relationship Id="rId4040481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