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9119712" w:name="document"/>
    <w:bookmarkEnd w:id="79119712"/>
    <w:p/>
    <w:p>
      <w:pPr>
        <w:widowControl w:val="on"/>
        <w:pBdr/>
        <w:spacing w:before="0" w:after="280" w:line="240" w:lineRule="auto"/>
        <w:ind w:left="0" w:right="0"/>
        <w:jc w:val="left"/>
      </w:pPr>
      <w:r>
        <w:rPr>
          <w:rFonts w:ascii="Arial" w:hAnsi="Arial" w:eastAsia="Arial" w:cs="Arial"/>
          <w:color w:val="363A40"/>
          <w:sz w:val="24"/>
          <w:szCs w:val="24"/>
        </w:rPr>
        <w:t xml:space="preserve">Dokument-ID: 393070 | Elisabeth David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Konventionalstrafe – Textbaustein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Vereinbarung einer Konventionalstrafe bei Verstößen gegen den
Dienstvertrag bzw allgemeiner Treuepflichten</w:t>
      </w:r>
    </w:p>
    <w:p>
      <w:pPr>
        <w:widowControl w:val="on"/>
        <w:pBdr/>
        <w:spacing w:before="140" w:after="240" w:line="288" w:lineRule="auto"/>
        <w:ind w:left="0" w:right="0"/>
        <w:jc w:val="left"/>
      </w:pPr>
      <w:r>
        <w:rPr>
          <w:rFonts w:ascii="Arial" w:hAnsi="Arial" w:eastAsia="Arial" w:cs="Arial"/>
          <w:color w:val="000000"/>
          <w:sz w:val="20"/>
          <w:szCs w:val="20"/>
        </w:rPr>
        <w:t xml:space="preserve">Soweit nicht abweichend vereinbart, wird im Falle der Verletzung
der Pflichten aus diesem Vertrag, wie insbesondere wegen Verstoßes
gegen die </w:t>
      </w:r>
      <w:r>
        <w:rPr>
          <w:rFonts w:ascii="Arial" w:hAnsi="Arial" w:eastAsia="Arial" w:cs="Arial"/>
          <w:color w:val="000000"/>
          <w:sz w:val="20"/>
          <w:szCs w:val="20"/>
        </w:rPr>
        <w:t xml:space="preserve">Konkurrenzklausel</w:t>
      </w:r>
      <w:bookmarkStart w:id="24638698" w:name="link1"/>
      <w:bookmarkEnd w:id="24638698"/>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t xml:space="preserve">, das Konkurrenzverbot, die
Verschwiegenheitspflicht, das Verbot der Nebenbeschäftigung sowie
im Falle eines unberechtigten vorzeitigen Austritts oder einer
berechtigter Entlassung eine Konventionalstrafe in Höhe von …
Monatsgehältern vereinbart. Ausdrücklich wird festgehalten, dass
die Höhe der Konventionalstrafe angemessen ist und diese nicht dem
richterlichen Mäßigungsrecht </w:t>
      </w:r>
      <w:r>
        <w:rPr>
          <w:rFonts w:ascii="Arial" w:hAnsi="Arial" w:eastAsia="Arial" w:cs="Arial"/>
          <w:color w:val="000000"/>
          <w:sz w:val="20"/>
          <w:szCs w:val="20"/>
        </w:rPr>
        <w:t xml:space="preserve">unterliegt.</w:t>
      </w:r>
      <w:bookmarkStart w:id="56245732" w:name="link2"/>
      <w:bookmarkEnd w:id="56245732"/>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t xml:space="preserve"> Eine Geltendmachung
eines Schadenersatzes für darüber hinaus gehende Schäden wird durch
diese Regelung nicht berührt. Die Konventionalstrafe wird bei
Beendigung des Dienstverhältnisses fällig und kann vom Dienstgeber
bei der Endabrechnung einbehalten werden. Ist der Betrag nicht
ausreichend, verpflichtet sich der Dienstnehmer, den entsprechenden
Betrag binnen 14 Tagen auf das Konto des Dienstgebers
einzubezahlen. Sollte die Vertragsverletzung erst nach Beendigung
des Dienstverhältnisses bekannt werden, ist der Betrag sofort nach
Kenntnis des anspruchsbegründenden Sachverhalts fällig und ist vom
Dienstnehmer unverzüglich einzuzahlen.</w:t>
      </w:r>
    </w:p>
    <w:p>
      <w:pPr>
        <w:widowControl w:val="on"/>
        <w:pBdr/>
        <w:spacing w:before="140" w:after="240" w:line="288" w:lineRule="auto"/>
        <w:ind w:left="0" w:right="0"/>
        <w:jc w:val="left"/>
      </w:pPr>
      <w:r>
        <w:rPr>
          <w:rFonts w:ascii="Arial" w:hAnsi="Arial" w:eastAsia="Arial" w:cs="Arial"/>
          <w:color w:val="000000"/>
          <w:sz w:val="20"/>
          <w:szCs w:val="20"/>
        </w:rPr>
        <w:t xml:space="preserve">Die Konventionalstrafe errechnet sich im Falle der
terminwidrigen Beendigung des Dienstverhältnisses so, wie eine
Kündigungsentschädigung zu errechnen ist.</w:t>
      </w:r>
    </w:p>
    <w:p>
      <w:pPr>
        <w:widowControl w:val="on"/>
        <w:pBdr/>
        <w:spacing w:before="140" w:after="240" w:line="288" w:lineRule="auto"/>
        <w:ind w:left="0" w:right="0"/>
        <w:jc w:val="left"/>
      </w:pPr>
      <w:r>
        <w:rPr>
          <w:rFonts w:ascii="Arial" w:hAnsi="Arial" w:eastAsia="Arial" w:cs="Arial"/>
          <w:color w:val="000000"/>
          <w:sz w:val="20"/>
          <w:szCs w:val="20"/>
        </w:rPr>
        <w:t xml:space="preserve">Im Falle eines Verstoßes gegen den Dienstvertrag oder allgemeine
Dienstpflichten errechnet sich der Betrag anhand des zu dem
Zeitpunkt der Beendigung gebührenden Bruttomonatsgehaltes.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6402701" w:name="note1"/>
            <w:bookmarkEnd w:id="56402701"/>
            <w:bookmarkStart w:id="9853236960264" w:name="note1"/>
            <w:r>
              <w:rPr>
                <w:rFonts w:ascii="Arial" w:hAnsi="Arial" w:eastAsia="Arial" w:cs="Arial"/>
                <w:b/>
                <w:bCs/>
                <w:color w:val="000000"/>
                <w:position w:val="0"/>
                <w:sz w:val="20"/>
                <w:szCs w:val="20"/>
              </w:rPr>
              <w:t xml:space="preserve">[1]</w:t>
            </w:r>
            <w:bookmarkEnd w:id="985323696026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der Arbeitgeber für den Fall der Verletzung der
Konkurrenzklausel eine Konventionalstrafe vereinbart, kann er keine
Unterlassungsansprüche gegenüber dem Dienstnehmer geltend machen.
Der Dienstgeber kann nur die Konventionalstrafe verlangen, die –
auch bei abweichender Vereinbarung – zwingend dem richterlichen
Mäßigungsrecht unterliegt.</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256406" w:name="note2"/>
            <w:bookmarkEnd w:id="31256406"/>
            <w:bookmarkStart w:id="57180533837" w:name="note2"/>
            <w:r>
              <w:rPr>
                <w:rFonts w:ascii="Arial" w:hAnsi="Arial" w:eastAsia="Arial" w:cs="Arial"/>
                <w:b/>
                <w:bCs/>
                <w:color w:val="000000"/>
                <w:position w:val="0"/>
                <w:sz w:val="20"/>
                <w:szCs w:val="20"/>
              </w:rPr>
              <w:t xml:space="preserve">[2]</w:t>
            </w:r>
            <w:bookmarkEnd w:id="5718053383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Klausel kann nur wirksam werden, wenn auf das
Dienstverhältnis das AngG nicht zur Anwendung kommt. Im
Anwendungsbereich des AngG unterliegt eine Konventionalstrafe immer
dem richterlichen Mäßigungsrecht.</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77665">
    <w:multiLevelType w:val="hybridMultilevel"/>
    <w:lvl w:ilvl="0" w:tplc="69677471">
      <w:start w:val="1"/>
      <w:numFmt w:val="decimal"/>
      <w:lvlText w:val="%1."/>
      <w:lvlJc w:val="left"/>
      <w:pPr>
        <w:ind w:left="720" w:hanging="360"/>
      </w:pPr>
    </w:lvl>
    <w:lvl w:ilvl="1" w:tplc="69677471" w:tentative="1">
      <w:start w:val="1"/>
      <w:numFmt w:val="lowerLetter"/>
      <w:lvlText w:val="%2."/>
      <w:lvlJc w:val="left"/>
      <w:pPr>
        <w:ind w:left="1440" w:hanging="360"/>
      </w:pPr>
    </w:lvl>
    <w:lvl w:ilvl="2" w:tplc="69677471" w:tentative="1">
      <w:start w:val="1"/>
      <w:numFmt w:val="lowerRoman"/>
      <w:lvlText w:val="%3."/>
      <w:lvlJc w:val="right"/>
      <w:pPr>
        <w:ind w:left="2160" w:hanging="180"/>
      </w:pPr>
    </w:lvl>
    <w:lvl w:ilvl="3" w:tplc="69677471" w:tentative="1">
      <w:start w:val="1"/>
      <w:numFmt w:val="decimal"/>
      <w:lvlText w:val="%4."/>
      <w:lvlJc w:val="left"/>
      <w:pPr>
        <w:ind w:left="2880" w:hanging="360"/>
      </w:pPr>
    </w:lvl>
    <w:lvl w:ilvl="4" w:tplc="69677471" w:tentative="1">
      <w:start w:val="1"/>
      <w:numFmt w:val="lowerLetter"/>
      <w:lvlText w:val="%5."/>
      <w:lvlJc w:val="left"/>
      <w:pPr>
        <w:ind w:left="3600" w:hanging="360"/>
      </w:pPr>
    </w:lvl>
    <w:lvl w:ilvl="5" w:tplc="69677471" w:tentative="1">
      <w:start w:val="1"/>
      <w:numFmt w:val="lowerRoman"/>
      <w:lvlText w:val="%6."/>
      <w:lvlJc w:val="right"/>
      <w:pPr>
        <w:ind w:left="4320" w:hanging="180"/>
      </w:pPr>
    </w:lvl>
    <w:lvl w:ilvl="6" w:tplc="69677471" w:tentative="1">
      <w:start w:val="1"/>
      <w:numFmt w:val="decimal"/>
      <w:lvlText w:val="%7."/>
      <w:lvlJc w:val="left"/>
      <w:pPr>
        <w:ind w:left="5040" w:hanging="360"/>
      </w:pPr>
    </w:lvl>
    <w:lvl w:ilvl="7" w:tplc="69677471" w:tentative="1">
      <w:start w:val="1"/>
      <w:numFmt w:val="lowerLetter"/>
      <w:lvlText w:val="%8."/>
      <w:lvlJc w:val="left"/>
      <w:pPr>
        <w:ind w:left="5760" w:hanging="360"/>
      </w:pPr>
    </w:lvl>
    <w:lvl w:ilvl="8" w:tplc="69677471" w:tentative="1">
      <w:start w:val="1"/>
      <w:numFmt w:val="lowerRoman"/>
      <w:lvlText w:val="%9."/>
      <w:lvlJc w:val="right"/>
      <w:pPr>
        <w:ind w:left="6480" w:hanging="180"/>
      </w:pPr>
    </w:lvl>
  </w:abstractNum>
  <w:abstractNum w:abstractNumId="81077664">
    <w:multiLevelType w:val="hybridMultilevel"/>
    <w:lvl w:ilvl="0" w:tplc="14601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77664">
    <w:abstractNumId w:val="81077664"/>
  </w:num>
  <w:num w:numId="81077665">
    <w:abstractNumId w:val="810776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90972158" Type="http://schemas.openxmlformats.org/officeDocument/2006/relationships/numbering" Target="numbering.xml"/><Relationship Id="rId16705618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