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6247049" w:name="document"/>
    <w:bookmarkEnd w:id="66247049"/>
    <w:p/>
    <w:p>
      <w:pPr>
        <w:widowControl w:val="on"/>
        <w:pBdr/>
        <w:spacing w:before="0" w:after="280" w:line="240" w:lineRule="auto"/>
        <w:ind w:left="0" w:right="0"/>
        <w:jc w:val="left"/>
      </w:pPr>
      <w:r>
        <w:rPr>
          <w:rFonts w:ascii="Arial" w:hAnsi="Arial" w:eastAsia="Arial" w:cs="Arial"/>
          <w:color w:val="363A40"/>
          <w:sz w:val="24"/>
          <w:szCs w:val="24"/>
        </w:rPr>
        <w:t xml:space="preserve">Dokument-ID: 867949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gemäß § 394 EO</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b/>
          <w:bCs/>
          <w:color w:val="000000"/>
          <w:sz w:val="20"/>
          <w:szCs w:val="20"/>
        </w:rPr>
        <w:t xml:space="preserve">Bezirksgericht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b/>
          <w:bCs/>
          <w:color w:val="000000"/>
          <w:sz w:val="20"/>
          <w:szCs w:val="20"/>
        </w:rPr>
        <w:t xml:space="preserve">16 C 1659/14 u</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Gefährdete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Gläubiger GmbH</w:t>
            </w:r>
            <w:r>
              <w:rPr>
                <w:rFonts w:ascii="Arial" w:hAnsi="Arial" w:eastAsia="Arial" w:cs="Arial"/>
                <w:color w:val="000000"/>
                <w:position w:val="0"/>
                <w:sz w:val="20"/>
                <w:szCs w:val="20"/>
                <w:shd w:val="clear" w:color="auto" w:fill="FFFFFF"/>
              </w:rPr>
              <w:br/>
              <w:t xml:space="preserve">Industriestraße 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Thomas Advokat</w:t>
            </w:r>
            <w:r>
              <w:rPr>
                <w:rFonts w:ascii="Arial" w:hAnsi="Arial" w:eastAsia="Arial" w:cs="Arial"/>
                <w:color w:val="000000"/>
                <w:position w:val="0"/>
                <w:sz w:val="20"/>
                <w:szCs w:val="20"/>
                <w:shd w:val="clear" w:color="auto" w:fill="FFFFFF"/>
              </w:rPr>
              <w:br/>
              <w:t xml:space="preserve">Seilergasse 25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Gegnerin der gefährdeten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Rechtsanwalt</w:t>
            </w:r>
            <w:r>
              <w:rPr>
                <w:rFonts w:ascii="Arial" w:hAnsi="Arial" w:eastAsia="Arial" w:cs="Arial"/>
                <w:color w:val="000000"/>
                <w:position w:val="0"/>
                <w:sz w:val="20"/>
                <w:szCs w:val="20"/>
                <w:shd w:val="clear" w:color="auto" w:fill="FFFFFF"/>
              </w:rPr>
              <w:br/>
              <w:t xml:space="preserve">Leopoldgasse 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Streitwert: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23.295,02</w:t>
            </w:r>
          </w:p>
        </w:tc>
      </w:tr>
    </w:tbl>
    <w:p>
      <w:pPr>
        <w:widowControl w:val="on"/>
        <w:pBdr/>
        <w:spacing w:before="140" w:after="240" w:line="288" w:lineRule="auto"/>
        <w:ind w:left="0" w:right="0"/>
        <w:jc w:val="right"/>
      </w:pPr>
      <w:r>
        <w:rPr>
          <w:rFonts w:ascii="Arial" w:hAnsi="Arial" w:eastAsia="Arial" w:cs="Arial"/>
          <w:color w:val="000000"/>
          <w:sz w:val="20"/>
          <w:szCs w:val="20"/>
        </w:rPr>
        <w:t xml:space="preserve"> 2-fach</w:t>
      </w:r>
      <w:r>
        <w:rPr>
          <w:rFonts w:ascii="Arial" w:hAnsi="Arial" w:eastAsia="Arial" w:cs="Arial"/>
          <w:color w:val="000000"/>
          <w:sz w:val="20"/>
          <w:szCs w:val="20"/>
        </w:rPr>
        <w:br/>
        <w:t xml:space="preserve">(Vollmacht erteilt)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Antrag gem § 394
EO</w:t>
      </w:r>
    </w:p>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Sachverhalt</w:t>
      </w:r>
    </w:p>
    <w:p>
      <w:pPr>
        <w:widowControl w:val="on"/>
        <w:pBdr/>
        <w:spacing w:before="140" w:after="240" w:line="288" w:lineRule="auto"/>
        <w:ind w:left="0" w:right="0"/>
        <w:jc w:val="left"/>
      </w:pPr>
      <w:r>
        <w:rPr>
          <w:rFonts w:ascii="Arial" w:hAnsi="Arial" w:eastAsia="Arial" w:cs="Arial"/>
          <w:color w:val="000000"/>
          <w:sz w:val="20"/>
          <w:szCs w:val="20"/>
        </w:rPr>
        <w:t xml:space="preserve">Mit Schriftsatz vom 23. Jänner 2014 beantragte die gefährdete
Partei die Erlassung einer einstweiligen Verfügung, der zufolge der
Gegnerin der gefährdeten Partei die Abrufung einer
Ausführungsgarantie in der Höhe von EUR 867.500,– und der
Drittschuldnerin Garantiebank die Auszahlung des Garantiebetrages
untersagt werden soll. Mit Beschluss vom 24. Jänner 2014 erließ das
Bezirksgericht Korneuburg antragsgemäß die entsprechende
einstweilige Verfügung.</w:t>
      </w:r>
    </w:p>
    <w:p>
      <w:pPr>
        <w:widowControl w:val="on"/>
        <w:pBdr/>
        <w:spacing w:before="140" w:after="240" w:line="288" w:lineRule="auto"/>
        <w:ind w:left="0" w:right="0"/>
        <w:jc w:val="left"/>
      </w:pPr>
      <w:r>
        <w:rPr>
          <w:rFonts w:ascii="Arial" w:hAnsi="Arial" w:eastAsia="Arial" w:cs="Arial"/>
          <w:color w:val="000000"/>
          <w:sz w:val="20"/>
          <w:szCs w:val="20"/>
        </w:rPr>
        <w:t xml:space="preserve">Die Gegnerin der gefährdeten Partei erhob mit Schriftsatz vom 5.
Februar 2014 Widerspruch und Rekurs. Mit Verfügung vom 7. März 2014
retournierte das Landesgericht Korneuburg den Verfahrensakt an das
Gericht erster Instanz mit dem Ersuchen, über den Rekurs zu
entscheiden. Gegen diese Verfügung brachte die gefährdete Partei
mit Schriftsatz vom 1. April 2014 einen Revisionsrekurs ein.</w:t>
      </w:r>
    </w:p>
    <w:p>
      <w:pPr>
        <w:widowControl w:val="on"/>
        <w:pBdr/>
        <w:spacing w:before="140" w:after="240" w:line="288" w:lineRule="auto"/>
        <w:ind w:left="0" w:right="0"/>
        <w:jc w:val="left"/>
      </w:pPr>
      <w:r>
        <w:rPr>
          <w:rFonts w:ascii="Arial" w:hAnsi="Arial" w:eastAsia="Arial" w:cs="Arial"/>
          <w:color w:val="000000"/>
          <w:sz w:val="20"/>
          <w:szCs w:val="20"/>
        </w:rPr>
        <w:t xml:space="preserve">Mit Beschluss vom 17. April 2014 erklärte das Bezirksgericht
Korneuburg die Einstweilige Verfügung vom 24. Jänner 2014 für nicht
statthaft und hob sie folglich auf. Gegen diesen Beschluss erhob
die gefährdete Partei mit Schriftsatz vom 2. Mai 2014 Kostenrekurs.
Mit Schriftsatz vom 12. Mai 2014 zog die gefährdete Partei den
Revisionsrekurs vom 1. April 2014 zurück. Mit weiterem Schriftsatz
vom 14. Mai 2014 zog die gefährdete Partei den Rekurs vom 2. Mai
2014 unter Aufrechterhaltung des Antrags auf Zuspruch der
Rekurskosten zurück.</w:t>
      </w:r>
    </w:p>
    <w:p>
      <w:pPr>
        <w:widowControl w:val="on"/>
        <w:pBdr/>
        <w:spacing w:before="140" w:after="240" w:line="288" w:lineRule="auto"/>
        <w:ind w:left="0" w:right="0"/>
        <w:jc w:val="left"/>
      </w:pPr>
      <w:r>
        <w:rPr>
          <w:rFonts w:ascii="Arial" w:hAnsi="Arial" w:eastAsia="Arial" w:cs="Arial"/>
          <w:color w:val="000000"/>
          <w:sz w:val="20"/>
          <w:szCs w:val="20"/>
        </w:rPr>
        <w:t xml:space="preserve">Mit Beschluss vom 25. Juli 2014 verurteilte das Landesgericht
Korneuburg die gefährdete Partei zum Ersatz der gerichtlich
bestimmten Rekursverfahrenskosten und wies den Rekurs gegen den
Beschluss vom 24. Jänner 2014 ab.</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Anspruch gem § 394 EO</w:t>
      </w:r>
    </w:p>
    <w:p>
      <w:pPr>
        <w:widowControl w:val="on"/>
        <w:pBdr/>
        <w:spacing w:before="140" w:after="240" w:line="288" w:lineRule="auto"/>
        <w:ind w:left="0" w:right="0"/>
        <w:jc w:val="left"/>
      </w:pPr>
      <w:r>
        <w:rPr>
          <w:rFonts w:ascii="Arial" w:hAnsi="Arial" w:eastAsia="Arial" w:cs="Arial"/>
          <w:color w:val="000000"/>
          <w:sz w:val="20"/>
          <w:szCs w:val="20"/>
        </w:rPr>
        <w:t xml:space="preserve">Gem § 394 Abs 1 EO hat die Partei, auf deren Antrag
eine Einstweilige Verfügung bewilligt wurde, ihrem Gegner für alle
ihm durch die Einstweilige Verfügung verursachten
Vermögensnachteile Ersatz zu leisten, wenn</w:t>
      </w:r>
    </w:p>
    <w:p>
      <w:pPr>
        <w:numPr>
          <w:ilvl w:val="0"/>
          <w:numId w:val="5035995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behauptete Anspruch, für welchen die Einstweilige Verfügung
bewilligt wurde, rechtskräftig aberkannt wird,</w:t>
      </w:r>
    </w:p>
    <w:p>
      <w:pPr>
        <w:numPr>
          <w:ilvl w:val="0"/>
          <w:numId w:val="5035995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sich das Ansuchen der gefährdeten Partei als ungerechtfertigt
erweist oder</w:t>
      </w:r>
    </w:p>
    <w:p>
      <w:pPr>
        <w:numPr>
          <w:ilvl w:val="0"/>
          <w:numId w:val="5035995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die gefährdete Partei die zur Erhebung der Klage oder
Einleitung der Exekution bewilligte Frist versäumt.</w:t>
      </w:r>
    </w:p>
    <w:p>
      <w:pPr>
        <w:widowControl w:val="on"/>
        <w:pBdr/>
        <w:spacing w:before="140" w:after="240" w:line="288" w:lineRule="auto"/>
        <w:ind w:left="0" w:right="0"/>
        <w:jc w:val="left"/>
      </w:pPr>
      <w:r>
        <w:rPr>
          <w:rFonts w:ascii="Arial" w:hAnsi="Arial" w:eastAsia="Arial" w:cs="Arial"/>
          <w:color w:val="000000"/>
          <w:sz w:val="20"/>
          <w:szCs w:val="20"/>
        </w:rPr>
        <w:t xml:space="preserve">„Sonst als ungerechtfertigt“ erweist sich der Antrag auf
Erlassung einer Einstweiligen Verfügung unter anderem dann, wenn
dem dagegen eingebrachten Rechtsmittel (Rekurs oder Widerspruch)
stattgegeben wird (</w:t>
      </w:r>
      <w:r>
        <w:rPr>
          <w:rFonts w:ascii="Arial" w:hAnsi="Arial" w:eastAsia="Arial" w:cs="Arial"/>
          <w:i/>
          <w:iCs/>
          <w:color w:val="000000"/>
          <w:sz w:val="20"/>
          <w:szCs w:val="20"/>
        </w:rPr>
        <w:t xml:space="preserve">Angst</w:t>
      </w:r>
      <w:r>
        <w:rPr>
          <w:rFonts w:ascii="Arial" w:hAnsi="Arial" w:eastAsia="Arial" w:cs="Arial"/>
          <w:color w:val="000000"/>
          <w:sz w:val="20"/>
          <w:szCs w:val="20"/>
        </w:rPr>
        <w:t xml:space="preserve">, Kommentar zur EO², § 394
Rz 9).</w:t>
      </w:r>
    </w:p>
    <w:p>
      <w:pPr>
        <w:widowControl w:val="on"/>
        <w:pBdr/>
        <w:spacing w:before="140" w:after="240" w:line="288" w:lineRule="auto"/>
        <w:ind w:left="0" w:right="0"/>
        <w:jc w:val="left"/>
      </w:pPr>
      <w:r>
        <w:rPr>
          <w:rFonts w:ascii="Arial" w:hAnsi="Arial" w:eastAsia="Arial" w:cs="Arial"/>
          <w:color w:val="000000"/>
          <w:sz w:val="20"/>
          <w:szCs w:val="20"/>
        </w:rPr>
        <w:t xml:space="preserve">„Ersatz von Vermögensnachteilen“ iSd § 394 EO bedeutet den
vom Gesetzgeber dem Gegner der gefährdeten Partei zur Verfügung
gestellten Ausgleichsanspruch für diejenigen Nachteile, die er
durch die Einstweilige Verfügung erleiden musste, welche sich
nachträglich als ungerechtfertigt erwiesen hat. Die Ersatzpflicht
ist verschuldensunabhängig. Als ersatzfähig sind alle Schäden
anzusehen, die durch die (wenn auch nicht rechtskräftige)
Bewilligung, Vollziehung und Befolgung der Einstweiligen Verfügung
verursacht worden sind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im
Zivilverfahren</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Rn 5/63).</w:t>
      </w:r>
    </w:p>
    <w:p>
      <w:pPr>
        <w:widowControl w:val="on"/>
        <w:pBdr/>
        <w:spacing w:before="140" w:after="240" w:line="288" w:lineRule="auto"/>
        <w:ind w:left="0" w:right="0"/>
        <w:jc w:val="left"/>
      </w:pPr>
      <w:r>
        <w:rPr>
          <w:rFonts w:ascii="Arial" w:hAnsi="Arial" w:eastAsia="Arial" w:cs="Arial"/>
          <w:color w:val="000000"/>
          <w:sz w:val="20"/>
          <w:szCs w:val="20"/>
        </w:rPr>
        <w:t xml:space="preserve">Wie oben unter Punkt 1 ausgeführt, ist der Tatbestand des
§ 394 Abs 1, 2. Fall EO erfüllt, weil sich das Ansuchen
der gefährdeten Partei als ungerechtfertigt erwiesen hat.</w:t>
      </w:r>
    </w:p>
    <w:p>
      <w:pPr>
        <w:widowControl w:val="on"/>
        <w:pBdr/>
        <w:spacing w:before="140" w:after="240" w:line="288" w:lineRule="auto"/>
        <w:ind w:left="0" w:right="0"/>
        <w:jc w:val="left"/>
      </w:pPr>
      <w:r>
        <w:rPr>
          <w:rFonts w:ascii="Arial" w:hAnsi="Arial" w:eastAsia="Arial" w:cs="Arial"/>
          <w:color w:val="000000"/>
          <w:sz w:val="20"/>
          <w:szCs w:val="20"/>
        </w:rPr>
        <w:t xml:space="preserve">Durch die Erlassung der gegenständlichen Einstweiligen Verfügung
hat die Gegnerin der gefährdeten Partei nachstehende
Vermögensnachteile erlitten: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 Darlehenszinsen</w:t>
      </w:r>
    </w:p>
    <w:p>
      <w:pPr>
        <w:widowControl w:val="on"/>
        <w:pBdr/>
        <w:spacing w:before="140" w:after="240" w:line="288" w:lineRule="auto"/>
        <w:ind w:left="0" w:right="0"/>
        <w:jc w:val="left"/>
      </w:pPr>
      <w:r>
        <w:rPr>
          <w:rFonts w:ascii="Arial" w:hAnsi="Arial" w:eastAsia="Arial" w:cs="Arial"/>
          <w:color w:val="000000"/>
          <w:sz w:val="20"/>
          <w:szCs w:val="20"/>
        </w:rPr>
        <w:t xml:space="preserve">Entsprechend der von der Gegnerin der gefährdeten Partei geübten
Unternehmenspolitik erfolgt die Finanzierung insbesondere von
Anlageinvestitionen neben dem Einsatz von Eigenkapitalmitteln auch
durch Fremdfinanzierungen. Diese Fremdfinanzierungen bedeuten
Verbindlichkeiten gegenüber Dritten, für die geschäftsübliche
Zinsen geleistet werden müssen.</w:t>
      </w:r>
    </w:p>
    <w:p>
      <w:pPr>
        <w:widowControl w:val="on"/>
        <w:pBdr/>
        <w:spacing w:before="140" w:after="240" w:line="288" w:lineRule="auto"/>
        <w:ind w:left="0" w:right="0"/>
        <w:jc w:val="left"/>
      </w:pPr>
      <w:r>
        <w:rPr>
          <w:rFonts w:ascii="Arial" w:hAnsi="Arial" w:eastAsia="Arial" w:cs="Arial"/>
          <w:color w:val="000000"/>
          <w:sz w:val="20"/>
          <w:szCs w:val="20"/>
        </w:rPr>
        <w:t xml:space="preserve">Tatsächlich hat die Gegnerin der gefährdeten Partei im Zeitraum
zwischen Erlassung der Einstweiligen Verfügung und Aufhebung
derselben Verbindlichkeiten aus Darlehen, die den – aufgrund der
Einstweiligen Verfügung gesperrten – Garantiebetrag überschritten
haben. Für diese Darlehen leistet die Gegnerin der gefährdeten
Partei jährlich Zinsen in Höhe von 4,5 % an die ABC Bank
AG.</w:t>
      </w:r>
    </w:p>
    <w:p>
      <w:pPr>
        <w:widowControl w:val="on"/>
        <w:pBdr/>
        <w:spacing w:before="140" w:after="240" w:line="288" w:lineRule="auto"/>
        <w:ind w:left="0" w:right="0"/>
        <w:jc w:val="left"/>
      </w:pPr>
      <w:r>
        <w:rPr>
          <w:rFonts w:ascii="Arial" w:hAnsi="Arial" w:eastAsia="Arial" w:cs="Arial"/>
          <w:color w:val="000000"/>
          <w:sz w:val="20"/>
          <w:szCs w:val="20"/>
        </w:rPr>
        <w:t xml:space="preserve">Gem § 394 EO soll der Gegner der gefährdeten Partei
vermögensrechtlich so gestellt werden, wie wenn der Eingriff durch
die ungerechtfertigte Einstweilige Verfügung nie geschehen wäre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im
Zivilverfahren</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Rn 5/67). Wäre die gegenständliche
Einstweilige Verfügung nicht erlassen worden, hätte die Gegnerin
der gefährdeten Partei nach Abrufung der Garantie am 26. Jänner
2014 den Betrag von EUR 867.500,– zur Reduzierung ihrer
Verbindlichkeiten verwendet. Dadurch hätte sie sich die Leistung
von Darlehenszinsen in der Höhe von 4,5 % pa aus dem Betrag
von EUR 867.500,– ab dem 26. Jänner 2014 und nicht erst ab 25.
Juli 2014 erspart. Die innerhalb dieses Zeitraums geleisteten
Darlehenszinsen im Betrag von insgesamt EUR 19.358,32 bedeuten
einen Vermögensnachteil, der durch die Erlassung der Einstweiligen
Verfügung verursacht wurde. Diese Zinsen sind daher von der
gefährdeten Partei zu ersetzen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im Zivilverfahren</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Rn 5/63).</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Bestätigung der ABC Bank AG (Beilage ./1)</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Kosten der Rechtsverteidigung</w:t>
      </w:r>
    </w:p>
    <w:p>
      <w:pPr>
        <w:widowControl w:val="on"/>
        <w:pBdr/>
        <w:spacing w:before="140" w:after="240" w:line="288" w:lineRule="auto"/>
        <w:ind w:left="0" w:right="0"/>
        <w:jc w:val="left"/>
      </w:pPr>
      <w:r>
        <w:rPr>
          <w:rFonts w:ascii="Arial" w:hAnsi="Arial" w:eastAsia="Arial" w:cs="Arial"/>
          <w:color w:val="000000"/>
          <w:sz w:val="20"/>
          <w:szCs w:val="20"/>
        </w:rPr>
        <w:t xml:space="preserve">§ 394 EO umfasst auch den Ersatz der Kosten der
zweckentsprechenden Rechtsverfolgung im Sicherungsverfahren. Dieser
Ersatzanspruch ist nicht mit den Grundsätzen begrenzt, die für den
gerichtlichen Kostenzuspruch gelten (Rechtsanwaltskosten mit
Einheitssatz für Nebenleistungen).</w:t>
      </w:r>
    </w:p>
    <w:p>
      <w:pPr>
        <w:widowControl w:val="on"/>
        <w:pBdr/>
        <w:spacing w:before="140" w:after="240" w:line="288" w:lineRule="auto"/>
        <w:ind w:left="0" w:right="0"/>
        <w:jc w:val="left"/>
      </w:pPr>
      <w:r>
        <w:rPr>
          <w:rFonts w:ascii="Arial" w:hAnsi="Arial" w:eastAsia="Arial" w:cs="Arial"/>
          <w:color w:val="000000"/>
          <w:sz w:val="20"/>
          <w:szCs w:val="20"/>
        </w:rPr>
        <w:t xml:space="preserve">Gemäß stRsp (SZ 26/61; EvBl 1967/70, 77; OLG Wien, AnwBl 1987,
303) zählen zu den nach § 394 EO ersatzfähigen Kosten die
einzelnen von der rechtsfreundlichen Vertretung des Gegners der
gefährdeten Partei erbrachten Leistungen, die anstatt des
Einheitssatzes legitimer Weise (§ 23 Abs 2 RATG)
verrechnet werden können. Daher sind die nach Einzelleistungen
entsprechend dem RATG verrechneten Leistungen der
rechtsfreundlichen Vertretung des Gegners der gefährdeten Partei
voll ersatzfähig.</w:t>
      </w:r>
    </w:p>
    <w:p>
      <w:pPr>
        <w:widowControl w:val="on"/>
        <w:pBdr/>
        <w:spacing w:before="140" w:after="240" w:line="288" w:lineRule="auto"/>
        <w:ind w:left="0" w:right="0"/>
        <w:jc w:val="left"/>
      </w:pPr>
      <w:r>
        <w:rPr>
          <w:rFonts w:ascii="Arial" w:hAnsi="Arial" w:eastAsia="Arial" w:cs="Arial"/>
          <w:color w:val="000000"/>
          <w:sz w:val="20"/>
          <w:szCs w:val="20"/>
        </w:rPr>
        <w:t xml:space="preserve">Es bedarf keiner fundierten anwaltlichen Erfahrung, um
abschätzen zu können, dass rechtliche Maßnahmen gegen einstweilige
Verfügungen innerhalb eines relativ kurzen Zeitraums eine äußerst
intensive Informationsaufnahme sowie tiefgehende rechtliche
Beurteilungen erfordern. Die Sachverhalte sind gewöhnlich sehr
komplex und erfordern häufig – wie auch im gegenständlichen Fall –
auch eine Auseinandersetzung mit nicht unmittelbar juristischen
Materien, zB Anlagentechnik. Telefonische Besprechungen,
Korrespondenz und Konferenzen überschreiten regelmäßig das Maß des
Gewöhnlichen deutlich.</w:t>
      </w:r>
    </w:p>
    <w:p>
      <w:pPr>
        <w:widowControl w:val="on"/>
        <w:pBdr/>
        <w:spacing w:before="140" w:after="240" w:line="288" w:lineRule="auto"/>
        <w:ind w:left="0" w:right="0"/>
        <w:jc w:val="left"/>
      </w:pPr>
      <w:r>
        <w:rPr>
          <w:rFonts w:ascii="Arial" w:hAnsi="Arial" w:eastAsia="Arial" w:cs="Arial"/>
          <w:color w:val="000000"/>
          <w:sz w:val="20"/>
          <w:szCs w:val="20"/>
        </w:rPr>
        <w:t xml:space="preserve">Dieser Arbeitsaufwand wird verstärkt, wenn der Gegner der
gefährdeten Partei der Gerichtssprache nicht mächtig ist und
folglich sowohl der Informationsaustausch als auch die
Gerichtsdokumentation in unterschiedlichen Sprachen, gegenständlich
Englisch, Deutsch und Spanisch, erfolgt. Weiters bedeutet das
Verständnis von in fremder Sprache abgefassten Beweismitteln einen
außergewöhnlichen Aufwand.</w:t>
      </w:r>
    </w:p>
    <w:p>
      <w:pPr>
        <w:widowControl w:val="on"/>
        <w:pBdr/>
        <w:spacing w:before="140" w:after="240" w:line="288" w:lineRule="auto"/>
        <w:ind w:left="0" w:right="0"/>
        <w:jc w:val="left"/>
      </w:pPr>
      <w:r>
        <w:rPr>
          <w:rFonts w:ascii="Arial" w:hAnsi="Arial" w:eastAsia="Arial" w:cs="Arial"/>
          <w:color w:val="000000"/>
          <w:sz w:val="20"/>
          <w:szCs w:val="20"/>
        </w:rPr>
        <w:t xml:space="preserve">Angesichts dieses außergewöhnlichen Aufwands, der bei Bewertung
nach dem Einheitssatz gem § 23 Abs 1 RATG nicht
adäquat entlohnt würde, verrechnet die rechtsfreundliche Vertretung
der Gegnerin der gefährdeten Partei die zur zweckentsprechenden
Rechtsverfolgung erbrachten Leistungen gem § 23
Abs 2 RATG, dh nach Einzelleistungen.</w:t>
      </w:r>
    </w:p>
    <w:p>
      <w:pPr>
        <w:widowControl w:val="on"/>
        <w:pBdr/>
        <w:spacing w:before="140" w:after="240" w:line="288" w:lineRule="auto"/>
        <w:ind w:left="0" w:right="0"/>
        <w:jc w:val="left"/>
      </w:pPr>
      <w:r>
        <w:rPr>
          <w:rFonts w:ascii="Arial" w:hAnsi="Arial" w:eastAsia="Arial" w:cs="Arial"/>
          <w:color w:val="000000"/>
          <w:sz w:val="20"/>
          <w:szCs w:val="20"/>
        </w:rPr>
        <w:t xml:space="preserve">Die Summe dieser Einzelleistungen beträgt EUR 8.526,30. Der
in den unter 1. bezeichneten Verfahren, die alle durch die
gefährdete Partei initiiert wurden, vom Gericht bestimmte und dem
Gegner der gefährdeten Partei zugesprochene Kostenersatzanspruch
beträgt EUR 4.589,60. Dieser Betrag ist auf die
gem § 23 Abs 2 RATG verrechneten Kosten
anzurechnen.</w:t>
      </w:r>
    </w:p>
    <w:p>
      <w:pPr>
        <w:widowControl w:val="on"/>
        <w:pBdr/>
        <w:spacing w:before="140" w:after="240" w:line="288" w:lineRule="auto"/>
        <w:ind w:left="0" w:right="0"/>
        <w:jc w:val="left"/>
      </w:pPr>
      <w:r>
        <w:rPr>
          <w:rFonts w:ascii="Arial" w:hAnsi="Arial" w:eastAsia="Arial" w:cs="Arial"/>
          <w:color w:val="000000"/>
          <w:sz w:val="20"/>
          <w:szCs w:val="20"/>
        </w:rPr>
        <w:t xml:space="preserve">Der Differenzbetrag in der Höhe von EUR 3.936,70 bedeutet
somit den (restlichen) Betrag, der von der gefährdeten Partei zu
ersetzenden Kosten der Rechtsvertretung der Gegnerin der
gefährdeten Partei, die durch die ungerechtfertigte Erlassung der
Einstweiligen Verfügung verursacht wurden.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Leistungsverzeichnis der rechtsfreundlichen Vertretung der
Gegnerin der gefährdeten Partei (Beilage ./2)</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3. Zuständigkeit</w:t>
      </w:r>
    </w:p>
    <w:p>
      <w:pPr>
        <w:widowControl w:val="on"/>
        <w:pBdr/>
        <w:spacing w:before="140" w:after="240" w:line="288" w:lineRule="auto"/>
        <w:ind w:left="0" w:right="0"/>
        <w:jc w:val="left"/>
      </w:pPr>
      <w:r>
        <w:rPr>
          <w:rFonts w:ascii="Arial" w:hAnsi="Arial" w:eastAsia="Arial" w:cs="Arial"/>
          <w:color w:val="000000"/>
          <w:sz w:val="20"/>
          <w:szCs w:val="20"/>
        </w:rPr>
        <w:t xml:space="preserve">Gem § 387 Abs 1 EO entscheidet über Ansprüche
gem § 394 EO das Gericht, das die Einstweilige Verfügung
erlassen hat, daher das Bezirksgericht Korneuburg. Nur um dem
allfälligen Einwand der Unzuständigkeit unter Hinweis auf die
vertraglich vereinbarte Schiedsklausel vorzubeugen, seien
nachfolgende Ausführungen erlaubt:</w:t>
      </w:r>
    </w:p>
    <w:p>
      <w:pPr>
        <w:widowControl w:val="on"/>
        <w:pBdr/>
        <w:spacing w:before="140" w:after="240" w:line="288" w:lineRule="auto"/>
        <w:ind w:left="0" w:right="0"/>
        <w:jc w:val="left"/>
      </w:pPr>
      <w:r>
        <w:rPr>
          <w:rFonts w:ascii="Arial" w:hAnsi="Arial" w:eastAsia="Arial" w:cs="Arial"/>
          <w:color w:val="000000"/>
          <w:sz w:val="20"/>
          <w:szCs w:val="20"/>
        </w:rPr>
        <w:t xml:space="preserve">§ 394 EO gewährt dem Gegner der gefährdeten Partei einen
Anspruch auf Ersatz der Schäden, die er durch die Erlassung einer
ungerechtfertigten Einstweiligen Verfügung erlitten hat. Nach dem
gesetzgeberischen Willen soll auf der Grundlage dieser Bestimmung
über die aus ungerechtfertigten Einstweiligen Verfügungen
resultierenden Nachteile mit den Mitteln und in den Formen des
Verfügungsverfahrens selbst, abgesprochen werden. § 394 EO
bildet den logischen wie konsequenten Abschluss des
Provisorialverfahrens. Der Ersatzanspruch bildet das notwendige
Gleichgewicht zum (vorübergehend) ungerechtfertigten Eingriff in
die Rechtssphäre des Gegners der gefährdeten Partei. Der in
§ 394 EO bezeichnete Beschluss gehört daher zu denjenigen
Verfügungen, die das Sicherungsgericht nur aus Anlass und im
Zusammenhang mit der Einstweiligen Verfügung unter den dort
angegebenen Voraussetzungen zu fassen hat (OGH 21.02.1995, 4 Ob
2/95).</w:t>
      </w:r>
    </w:p>
    <w:p>
      <w:pPr>
        <w:widowControl w:val="on"/>
        <w:pBdr/>
        <w:spacing w:before="140" w:after="240" w:line="288" w:lineRule="auto"/>
        <w:ind w:left="0" w:right="0"/>
        <w:jc w:val="left"/>
      </w:pPr>
      <w:r>
        <w:rPr>
          <w:rFonts w:ascii="Arial" w:hAnsi="Arial" w:eastAsia="Arial" w:cs="Arial"/>
          <w:color w:val="000000"/>
          <w:sz w:val="20"/>
          <w:szCs w:val="20"/>
        </w:rPr>
        <w:t xml:space="preserve">Dieser „enge Sachzusammenhang“ (OGH 21.02.1995, 4 Ob 2/95)
zwischen dem Ersatzanspruch nach § 394 EO und der erlassenen
Einstweiligen Verfügung zeigt sich auch darin, dass das Verfahren
gem § 394 EO summarisch ist, die Entscheidung primär nach
den Verfahrensbestimmungen der Exekutionsordnung erfolgt und
unmittelbar aufgrund des rechtskräftigen Beschlusses Exekution
geführt werden kann. Folgerichtig ist für die Geltendmachung des
Ersatzanspruchs ausschließlich der in § 394 EO vorgesehene
Verfahrensweg offen (OGH 25.11.1999, 6 Ob 47/99a). Der Rechtsweg im
streitigen Verfahren ist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Geltendmachung des Ersatzanspruchs nach § 394 EO
bedeutet somit keinesfalls eine Streitigkeit, die sich
(unmittelbar) aus dem Grundvertrag ergibt. Es ist vielmehr ein
verfahrensrechtlicher Anspruch, der den verfahrensrechtlichen
Ausgleich zu einem ungerechtfertigt eingesetzten
verfahrensrechtlichen Behelf, der Einstweiligen Verfügung,
darstellt und das diesbezüglich geführte Verfahren abschließt.
Dieser Anspruch ist somit – wie das ganze Verfahren zur Erlassung
der Einstweiligen Verfügung – keinesfalls vom Anwendungsbereich der
Schiedsklausel erfasst.</w:t>
      </w:r>
    </w:p>
    <w:p>
      <w:pPr>
        <w:widowControl w:val="on"/>
        <w:pBdr/>
        <w:spacing w:before="140" w:after="240" w:line="288" w:lineRule="auto"/>
        <w:ind w:left="0" w:right="0"/>
        <w:jc w:val="left"/>
      </w:pPr>
      <w:r>
        <w:rPr>
          <w:rFonts w:ascii="Arial" w:hAnsi="Arial" w:eastAsia="Arial" w:cs="Arial"/>
          <w:color w:val="000000"/>
          <w:sz w:val="20"/>
          <w:szCs w:val="20"/>
        </w:rPr>
        <w:t xml:space="preserve">Im Übrigen bedeutet der Anspruch gem § 394 EO einen
Anspruch „sui generis“, der aufgrund seiner
Verschuldensunabhängigkeit am ehesten mit einer „Eingriffshaftung“
vergleichbar ist. Es handelt sich jedenfalls nicht um einen aus
einer Vertragsverletzung resultierenden Anspruch, sondern
ausschließlich um einen verfahrensrechtlich vorgesehenen
Nachteilsausgleich zu einer ungerechtfertigt erlassenen
Einstweiligen Verfügung. Auch aus diesem Grunde kann der Anspruch
nicht dem Anwendungsbereich der Schiedsklausel zugeordnet
werden.</w:t>
      </w:r>
    </w:p>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beantragt die Gegnerin der gefährdeten
Partei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w:t>
      </w:r>
    </w:p>
    <w:p>
      <w:pPr>
        <w:widowControl w:val="on"/>
        <w:pBdr/>
        <w:spacing w:before="140" w:after="240" w:line="288" w:lineRule="auto"/>
        <w:ind w:left="0" w:right="0"/>
        <w:jc w:val="left"/>
      </w:pPr>
      <w:r>
        <w:rPr>
          <w:rFonts w:ascii="Arial" w:hAnsi="Arial" w:eastAsia="Arial" w:cs="Arial"/>
          <w:color w:val="000000"/>
          <w:sz w:val="20"/>
          <w:szCs w:val="20"/>
        </w:rPr>
        <w:t xml:space="preserve">Das Bezirksgericht Korneuburg möge die gefährdete Partei für
schuldig erkennen, der Gegnerin der gefährdeten Partei den Betrag
von EUR 23.295,02 zuzüglich 7,88 % Zinsen seit 26.01.2014
zu bezahlen sowie die Kosten dieses Verfahrens binnen 14 Tagen bei
sonstiger Exekution zu ersetzen, all dies zu Handen des
Rechtsvertreters der Gegnerin der gefährdeten Partei.</w:t>
      </w:r>
    </w:p>
    <w:p>
      <w:pPr>
        <w:widowControl w:val="on"/>
        <w:pBdr/>
        <w:spacing w:before="140" w:after="240" w:line="288" w:lineRule="auto"/>
        <w:ind w:left="0" w:right="0"/>
        <w:jc w:val="left"/>
      </w:pPr>
      <w:r>
        <w:rPr>
          <w:rFonts w:ascii="Arial" w:hAnsi="Arial" w:eastAsia="Arial" w:cs="Arial"/>
          <w:color w:val="000000"/>
          <w:sz w:val="20"/>
          <w:szCs w:val="20"/>
        </w:rPr>
        <w:t xml:space="preserve">Schuldner GmbH</w:t>
      </w:r>
    </w:p>
    <w:p>
      <w:pPr>
        <w:widowControl w:val="on"/>
        <w:pBdr/>
        <w:spacing w:before="140" w:after="240" w:line="288" w:lineRule="auto"/>
        <w:ind w:left="0" w:right="0"/>
        <w:jc w:val="left"/>
      </w:pPr>
      <w:r>
        <w:rPr>
          <w:rFonts w:ascii="Arial" w:hAnsi="Arial" w:eastAsia="Arial" w:cs="Arial"/>
          <w:b/>
          <w:bCs/>
          <w:color w:val="000000"/>
          <w:sz w:val="20"/>
          <w:szCs w:val="20"/>
        </w:rPr>
        <w:t xml:space="preserve">Kostenverzeichnis:</w:t>
      </w:r>
      <w:r>
        <w:rPr>
          <w:rFonts w:ascii="Arial" w:hAnsi="Arial" w:eastAsia="Arial" w:cs="Arial"/>
          <w:color w:val="000000"/>
          <w:sz w:val="20"/>
          <w:szCs w:val="20"/>
        </w:rPr>
        <w:br/>
        <w:t xml:space="preserve">(Bemessungsgrundlage EUR 23.295,02)</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TP 3A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517,80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 ES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517,80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Erhöhungsbetrag WEB-ERV</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207,84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Pauschalgebühr</w:t>
            </w:r>
          </w:p>
        </w:tc>
        <w:tc>
          <w:tcPr>
            <w:tcW w:w="0" w:type="auto"/>
            <w:tcBorders>
              <w:bottom w:val="single" w:color="000000" w:sz="5"/>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bottom w:val="single" w:color="000000" w:sz="5"/>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707,00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1.954,04</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 394 EO stellt ein summarisches Verfahren zur Liquidierung
von Schäden des Gegners der gefährdeten Partei zur Verfügung.
Antragslegitimiert ist nur der Gegner der gefährdeten Partei, also
derjenige, der im bisherigen Verfahren als Antragsgegner bezeichnet
und damit Partei wurde. Der Antrag ist gegen die gefährdete Partei
zu richten (König, Einstweilige Verfügungen im Zivilverfahren4, Rn
5/62).</w:t>
      </w:r>
    </w:p>
    <w:p>
      <w:pPr>
        <w:widowControl w:val="on"/>
        <w:pBdr/>
        <w:spacing w:before="140" w:after="240" w:line="288" w:lineRule="auto"/>
        <w:ind w:left="0" w:right="0"/>
        <w:jc w:val="left"/>
      </w:pPr>
      <w:r>
        <w:rPr>
          <w:rFonts w:ascii="Arial" w:hAnsi="Arial" w:eastAsia="Arial" w:cs="Arial"/>
          <w:color w:val="000000"/>
          <w:sz w:val="20"/>
          <w:szCs w:val="20"/>
        </w:rPr>
        <w:t xml:space="preserve">Die Schadenshaftung der gefährdeten Partei nach § 394 EO
ist verschuldensunabhängig (OGH SZ 12/66). Mit § 394 EO können
nur Vermögensnachteile geltend gemacht werden. Als ersatzfähig sind
alle Schäden anzusehen, die durch die Bewilligung, Vollziehung und
Befolgung der Einstweiligen Verfügung verursacht worden sind. Sohin
sind erstattungsfähig Gebühren und Zinsen für Kredite, Notarkosten,
ein Gewinnentgang, der zu Unrecht geleistete vorläufige Unterhalt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im
Zivilverfahren</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Rn 5/67 mwN).</w:t>
      </w:r>
    </w:p>
    <w:p>
      <w:pPr>
        <w:widowControl w:val="on"/>
        <w:pBdr/>
        <w:spacing w:before="140" w:after="240" w:line="288" w:lineRule="auto"/>
        <w:ind w:left="0" w:right="0"/>
        <w:jc w:val="left"/>
      </w:pPr>
      <w:r>
        <w:rPr>
          <w:rFonts w:ascii="Arial" w:hAnsi="Arial" w:eastAsia="Arial" w:cs="Arial"/>
          <w:color w:val="000000"/>
          <w:sz w:val="20"/>
          <w:szCs w:val="20"/>
        </w:rPr>
        <w:t xml:space="preserve">Auch die Kosten der Rechtsverteidigung im Provisorialverfahren
können einen Anspruch gem § 394 EO bilden (SZ 50/104),
sofern diese Schäden als Kosten nicht bereits im
Provisorialverfahren zugesprochen werden konnten. Zu den im Wege
des § 394 EO beanspruchbaren Kosten zählen nicht nur die
„normalen“ Vertretungskosten, sondern auch ein durch besondere
Umstände gerechtfertigter Mehraufwand oder die von der
Rechtsvertretung anstelle des Einheitssatzes verrechneten
Einzelleistungen. Wenn allerdings im Hauptverfahren kein
Kostenersatz vorgesehen sein sollte, dann steht ein solcher auch
nicht über den Umweg des § 394 EO zu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im Zivilverfahren</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Rn 5/68
ff).</w:t>
      </w:r>
    </w:p>
    <w:p>
      <w:pPr>
        <w:widowControl w:val="on"/>
        <w:pBdr/>
        <w:spacing w:before="140" w:after="240" w:line="288" w:lineRule="auto"/>
        <w:ind w:left="0" w:right="0"/>
        <w:jc w:val="left"/>
      </w:pPr>
      <w:r>
        <w:rPr>
          <w:rFonts w:ascii="Arial" w:hAnsi="Arial" w:eastAsia="Arial" w:cs="Arial"/>
          <w:color w:val="000000"/>
          <w:sz w:val="20"/>
          <w:szCs w:val="20"/>
        </w:rPr>
        <w:t xml:space="preserve">Der Antrag ist stets bei dem Gericht einzubringen, das die
Einstweilige Verfügung bewilligt hat. Dies auch dann, wenn
zwischenzeitig ein Hauptprozess bei einem anderen Gericht anhängig
ist (JBl 1997, 116 ff).</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5995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383761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603920">
    <w:multiLevelType w:val="hybridMultilevel"/>
    <w:lvl w:ilvl="0" w:tplc="72588027">
      <w:start w:val="1"/>
      <w:numFmt w:val="decimal"/>
      <w:lvlText w:val="%1."/>
      <w:lvlJc w:val="left"/>
      <w:pPr>
        <w:ind w:left="720" w:hanging="360"/>
      </w:pPr>
    </w:lvl>
    <w:lvl w:ilvl="1" w:tplc="72588027" w:tentative="1">
      <w:start w:val="1"/>
      <w:numFmt w:val="lowerLetter"/>
      <w:lvlText w:val="%2."/>
      <w:lvlJc w:val="left"/>
      <w:pPr>
        <w:ind w:left="1440" w:hanging="360"/>
      </w:pPr>
    </w:lvl>
    <w:lvl w:ilvl="2" w:tplc="72588027" w:tentative="1">
      <w:start w:val="1"/>
      <w:numFmt w:val="lowerRoman"/>
      <w:lvlText w:val="%3."/>
      <w:lvlJc w:val="right"/>
      <w:pPr>
        <w:ind w:left="2160" w:hanging="180"/>
      </w:pPr>
    </w:lvl>
    <w:lvl w:ilvl="3" w:tplc="72588027" w:tentative="1">
      <w:start w:val="1"/>
      <w:numFmt w:val="decimal"/>
      <w:lvlText w:val="%4."/>
      <w:lvlJc w:val="left"/>
      <w:pPr>
        <w:ind w:left="2880" w:hanging="360"/>
      </w:pPr>
    </w:lvl>
    <w:lvl w:ilvl="4" w:tplc="72588027" w:tentative="1">
      <w:start w:val="1"/>
      <w:numFmt w:val="lowerLetter"/>
      <w:lvlText w:val="%5."/>
      <w:lvlJc w:val="left"/>
      <w:pPr>
        <w:ind w:left="3600" w:hanging="360"/>
      </w:pPr>
    </w:lvl>
    <w:lvl w:ilvl="5" w:tplc="72588027" w:tentative="1">
      <w:start w:val="1"/>
      <w:numFmt w:val="lowerRoman"/>
      <w:lvlText w:val="%6."/>
      <w:lvlJc w:val="right"/>
      <w:pPr>
        <w:ind w:left="4320" w:hanging="180"/>
      </w:pPr>
    </w:lvl>
    <w:lvl w:ilvl="6" w:tplc="72588027" w:tentative="1">
      <w:start w:val="1"/>
      <w:numFmt w:val="decimal"/>
      <w:lvlText w:val="%7."/>
      <w:lvlJc w:val="left"/>
      <w:pPr>
        <w:ind w:left="5040" w:hanging="360"/>
      </w:pPr>
    </w:lvl>
    <w:lvl w:ilvl="7" w:tplc="72588027" w:tentative="1">
      <w:start w:val="1"/>
      <w:numFmt w:val="lowerLetter"/>
      <w:lvlText w:val="%8."/>
      <w:lvlJc w:val="left"/>
      <w:pPr>
        <w:ind w:left="5760" w:hanging="360"/>
      </w:pPr>
    </w:lvl>
    <w:lvl w:ilvl="8" w:tplc="72588027" w:tentative="1">
      <w:start w:val="1"/>
      <w:numFmt w:val="lowerRoman"/>
      <w:lvlText w:val="%9."/>
      <w:lvlJc w:val="right"/>
      <w:pPr>
        <w:ind w:left="6480" w:hanging="180"/>
      </w:pPr>
    </w:lvl>
  </w:abstractNum>
  <w:abstractNum w:abstractNumId="21603919">
    <w:multiLevelType w:val="hybridMultilevel"/>
    <w:lvl w:ilvl="0" w:tplc="63955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03919">
    <w:abstractNumId w:val="21603919"/>
  </w:num>
  <w:num w:numId="21603920">
    <w:abstractNumId w:val="21603920"/>
  </w:num>
  <w:num w:numId="663837618">
    <w:abstractNumId w:val="663837618"/>
  </w:num>
  <w:num w:numId="503599561">
    <w:abstractNumId w:val="503599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32293401" Type="http://schemas.openxmlformats.org/officeDocument/2006/relationships/numbering" Target="numbering.xml"/><Relationship Id="rId92994558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