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9128892" w:name="document"/>
    <w:bookmarkEnd w:id="59128892"/>
    <w:p/>
    <w:p>
      <w:pPr>
        <w:widowControl w:val="on"/>
        <w:pBdr/>
        <w:spacing w:before="0" w:after="280" w:line="240" w:lineRule="auto"/>
        <w:ind w:left="0" w:right="0"/>
        <w:jc w:val="left"/>
      </w:pPr>
      <w:r>
        <w:rPr>
          <w:rFonts w:ascii="Arial" w:hAnsi="Arial" w:eastAsia="Arial" w:cs="Arial"/>
          <w:color w:val="363A40"/>
          <w:sz w:val="24"/>
          <w:szCs w:val="24"/>
        </w:rPr>
        <w:t xml:space="preserve">Dokument-ID: 1018947 | Silvia Vinkovits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Ausschluss der Öffentlichkeit</w:t>
      </w:r>
    </w:p>
    <w:p>
      <w:pPr>
        <w:widowControl w:val="on"/>
        <w:pBdr/>
        <w:spacing w:before="140" w:after="240" w:line="288" w:lineRule="auto"/>
        <w:ind w:left="0" w:right="0"/>
        <w:jc w:val="left"/>
      </w:pPr>
      <w:r>
        <w:rPr>
          <w:rFonts w:ascii="Arial" w:hAnsi="Arial" w:eastAsia="Arial" w:cs="Arial"/>
          <w:color w:val="000000"/>
          <w:sz w:val="20"/>
          <w:szCs w:val="20"/>
        </w:rPr>
        <w:t xml:space="preserve">Landesgericht für Strafsachen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 Hv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 am …</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Rechtsanwalt</w:t>
            </w:r>
            <w:r>
              <w:rPr>
                <w:rFonts w:ascii="Arial" w:hAnsi="Arial" w:eastAsia="Arial" w:cs="Arial"/>
                <w:color w:val="000000"/>
                <w:position w:val="0"/>
                <w:sz w:val="20"/>
                <w:szCs w:val="20"/>
                <w:shd w:val="clear" w:color="auto" w:fill="FFFFFF"/>
              </w:rPr>
              <w:br/>
              <w:t xml:space="preserve">Adresse, ev Code</w:t>
            </w:r>
            <w:r>
              <w:rPr>
                <w:rFonts w:ascii="Arial" w:hAnsi="Arial" w:eastAsia="Arial" w:cs="Arial"/>
                <w:color w:val="000000"/>
                <w:position w:val="0"/>
                <w:sz w:val="20"/>
                <w:szCs w:val="20"/>
                <w:shd w:val="clear" w:color="auto" w:fill="FFFFFF"/>
              </w:rPr>
              <w:b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205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gem § 229 StPO</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gegenständlicher Strafsache wurde für … [Datum] die
Hauptverhandlung anberaumt.</w:t>
      </w:r>
    </w:p>
    <w:p>
      <w:pPr>
        <w:widowControl w:val="on"/>
        <w:pBdr/>
        <w:spacing w:before="140" w:after="240" w:line="288" w:lineRule="auto"/>
        <w:ind w:left="0" w:right="0"/>
        <w:jc w:val="left"/>
      </w:pPr>
      <w:r>
        <w:rPr>
          <w:rFonts w:ascii="Arial" w:hAnsi="Arial" w:eastAsia="Arial" w:cs="Arial"/>
          <w:color w:val="000000"/>
          <w:sz w:val="20"/>
          <w:szCs w:val="20"/>
        </w:rPr>
        <w:t xml:space="preserve">Gegenstand der Verhandlung werden unter anderem auch Tatsachen
aus dem höchstpersönlichen Lebensbereich des Einschreiters bzw
seiner Geschlechtssphäre – insbesondere seine sexuellen Neigungen –
sein, deren öffentliche Erörterung gegen seine schutzwürdigen
Interessen auf Gewährleistung der Privat- und Intimsphäre verstoßen
würden.</w:t>
      </w:r>
    </w:p>
    <w:p>
      <w:pPr>
        <w:widowControl w:val="on"/>
        <w:pBdr/>
        <w:spacing w:before="140" w:after="240" w:line="288" w:lineRule="auto"/>
        <w:ind w:left="0" w:right="0"/>
        <w:jc w:val="left"/>
      </w:pPr>
      <w:r>
        <w:rPr>
          <w:rFonts w:ascii="Arial" w:hAnsi="Arial" w:eastAsia="Arial" w:cs="Arial"/>
          <w:color w:val="000000"/>
          <w:sz w:val="20"/>
          <w:szCs w:val="20"/>
        </w:rPr>
        <w:t xml:space="preserve">Da diese Tatsachen bereits bei der kontradiktorischen Befragung
der Opfer zur Sprache kamen, und diese Videoaufzeichnung in der
Hauptverhandlung abgespielt werden wird, ergeht daher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Öffentlichkeit für die Dauer des gesamten Beweisverfahrens
auszuschließen.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Landesgericht für Strafsachen
Wien</w:t>
      </w:r>
      <w:r>
        <w:rPr>
          <w:rFonts w:ascii="Arial" w:hAnsi="Arial" w:eastAsia="Arial" w:cs="Arial"/>
          <w:color w:val="277DB9"/>
          <w:sz w:val="20"/>
          <w:szCs w:val="20"/>
        </w:rPr>
        <w:br/>
        <w:t xml:space="preserve">Landesgerichtsstraße 11</w:t>
      </w:r>
      <w:r>
        <w:rPr>
          <w:rFonts w:ascii="Arial" w:hAnsi="Arial" w:eastAsia="Arial" w:cs="Arial"/>
          <w:color w:val="277DB9"/>
          <w:sz w:val="20"/>
          <w:szCs w:val="20"/>
        </w:rPr>
        <w:br/>
        <w:t xml:space="preserve">1080 Wien</w:t>
      </w:r>
    </w:p>
    <w:p>
      <w:pPr>
        <w:widowControl w:val="on"/>
        <w:pBdr/>
        <w:spacing w:before="140" w:after="240" w:line="288" w:lineRule="auto"/>
        <w:ind w:left="0" w:right="0"/>
        <w:jc w:val="right"/>
      </w:pPr>
      <w:r>
        <w:rPr>
          <w:rFonts w:ascii="Arial" w:hAnsi="Arial" w:eastAsia="Arial" w:cs="Arial"/>
          <w:color w:val="277DB9"/>
          <w:sz w:val="20"/>
          <w:szCs w:val="20"/>
        </w:rPr>
        <w:t xml:space="preserve">…, am …</w:t>
      </w:r>
      <w:r>
        <w:rPr>
          <w:rFonts w:ascii="Arial" w:hAnsi="Arial" w:eastAsia="Arial" w:cs="Arial"/>
          <w:color w:val="277DB9"/>
          <w:sz w:val="20"/>
          <w:szCs w:val="20"/>
        </w:rPr>
        <w:br/>
        <w:t xml:space="preserve">… Hv …/…</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X.Y., geb am …</w:t>
            </w:r>
            <w:r>
              <w:rPr>
                <w:rFonts w:ascii="Arial" w:hAnsi="Arial" w:eastAsia="Arial" w:cs="Arial"/>
                <w:color w:val="277DB9"/>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Dr. N.N., Rechtsanwalt</w:t>
            </w:r>
            <w:r>
              <w:rPr>
                <w:rFonts w:ascii="Arial" w:hAnsi="Arial" w:eastAsia="Arial" w:cs="Arial"/>
                <w:color w:val="277DB9"/>
                <w:position w:val="0"/>
                <w:sz w:val="20"/>
                <w:szCs w:val="20"/>
                <w:shd w:val="clear" w:color="auto" w:fill="FFFFFF"/>
              </w:rPr>
              <w:br/>
              <w:t xml:space="preserve">Adresse, ev Code</w:t>
            </w:r>
            <w:r>
              <w:rPr>
                <w:rFonts w:ascii="Arial" w:hAnsi="Arial" w:eastAsia="Arial" w:cs="Arial"/>
                <w:color w:val="277DB9"/>
                <w:position w:val="0"/>
                <w:sz w:val="20"/>
                <w:szCs w:val="20"/>
                <w:shd w:val="clear" w:color="auto" w:fill="FFFFFF"/>
              </w:rPr>
              <w:b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302 StGB, §§ 11, 33 Abs 1 FinStrG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gem § 213
FinStrG</w:t>
      </w:r>
    </w:p>
    <w:p>
      <w:pPr>
        <w:widowControl w:val="on"/>
        <w:pBdr/>
        <w:spacing w:before="140" w:after="240" w:line="288" w:lineRule="auto"/>
        <w:ind w:left="0" w:right="0"/>
        <w:jc w:val="right"/>
      </w:pPr>
      <w:r>
        <w:rPr>
          <w:rFonts w:ascii="Arial" w:hAnsi="Arial" w:eastAsia="Arial" w:cs="Arial"/>
          <w:color w:val="277DB9"/>
          <w:sz w:val="20"/>
          <w:szCs w:val="20"/>
        </w:rPr>
        <w:t xml:space="preserve">1-fach</w:t>
      </w:r>
    </w:p>
    <w:p>
      <w:pPr>
        <w:widowControl w:val="on"/>
        <w:pBdr/>
        <w:spacing w:before="140" w:after="240" w:line="288" w:lineRule="auto"/>
        <w:ind w:left="0" w:right="0"/>
        <w:jc w:val="left"/>
      </w:pPr>
      <w:r>
        <w:rPr>
          <w:rFonts w:ascii="Arial" w:hAnsi="Arial" w:eastAsia="Arial" w:cs="Arial"/>
          <w:color w:val="277DB9"/>
          <w:sz w:val="20"/>
          <w:szCs w:val="20"/>
        </w:rPr>
        <w:t xml:space="preserve">In gegenständlicher Strafsache wurde für … [Datum] die
Hauptverhandlung anberaumt.</w:t>
      </w:r>
    </w:p>
    <w:p>
      <w:pPr>
        <w:widowControl w:val="on"/>
        <w:pBdr/>
        <w:spacing w:before="140" w:after="240" w:line="288" w:lineRule="auto"/>
        <w:ind w:left="0" w:right="0"/>
        <w:jc w:val="left"/>
      </w:pPr>
      <w:r>
        <w:rPr>
          <w:rFonts w:ascii="Arial" w:hAnsi="Arial" w:eastAsia="Arial" w:cs="Arial"/>
          <w:color w:val="277DB9"/>
          <w:sz w:val="20"/>
          <w:szCs w:val="20"/>
        </w:rPr>
        <w:t xml:space="preserve">Gem § 213 FinStrG ist die Öffentlichkeit von der
Hauptverhandlung über die Anklage wegen eines Finanzvergehens auf
Antrag oder von Amts wegen auszuschließen, wenn und solange zur
Aufklärung des Finanzvergehens Verhältnisse oder Umstände des
Angeklagten, eines Nebenbeteiligten oder eines Zeugen, die unter
die Geheimhaltungspflicht nach § 48a BAO fallen, erörtert
werden müssen.</w:t>
      </w:r>
    </w:p>
    <w:p>
      <w:pPr>
        <w:widowControl w:val="on"/>
        <w:pBdr/>
        <w:spacing w:before="140" w:after="240" w:line="288" w:lineRule="auto"/>
        <w:ind w:left="0" w:right="0"/>
        <w:jc w:val="left"/>
      </w:pPr>
      <w:r>
        <w:rPr>
          <w:rFonts w:ascii="Arial" w:hAnsi="Arial" w:eastAsia="Arial" w:cs="Arial"/>
          <w:color w:val="277DB9"/>
          <w:sz w:val="20"/>
          <w:szCs w:val="20"/>
        </w:rPr>
        <w:t xml:space="preserve">Der Einschreiter wird im Zuge seiner Befragung in der
Hauptverhandlung als Beamter über der Öffentlichkeit unbekannte
Verhältnisse der Firma … [Name des Unternehmens], die ihm
ausschließlich anlässlich der von ihm geleiteten Betriebsprüfung am
… [Datum] zugänglich wurden, aussagen. Aufgrund seiner bisherigen
beruflichen Tätigkeit ist der Einschreiter jedoch zur
abgabenrechtlichen Geheimhaltung verpflichtet und hat daher ein
schutzwürdiges Interesse daran, dass die Offenbarung der Ergebnisse
der Betriebsprüfung nicht an die Öffentlichkeit dringen.</w:t>
      </w:r>
    </w:p>
    <w:p>
      <w:pPr>
        <w:widowControl w:val="on"/>
        <w:pBdr/>
        <w:spacing w:before="140" w:after="240" w:line="288" w:lineRule="auto"/>
        <w:ind w:left="0" w:right="0"/>
        <w:jc w:val="left"/>
      </w:pPr>
      <w:r>
        <w:rPr>
          <w:rFonts w:ascii="Arial" w:hAnsi="Arial" w:eastAsia="Arial" w:cs="Arial"/>
          <w:color w:val="277DB9"/>
          <w:sz w:val="20"/>
          <w:szCs w:val="20"/>
        </w:rPr>
        <w:t xml:space="preserve">Es ergeht daher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277DB9"/>
          <w:sz w:val="20"/>
          <w:szCs w:val="20"/>
        </w:rPr>
        <w:t xml:space="preserve">die Öffentlichkeit während der Hauptverhandlung und der
Urteilsbegründung auszuschließen.</w:t>
      </w:r>
    </w:p>
    <w:p>
      <w:pPr>
        <w:widowControl w:val="on"/>
        <w:pBdr/>
        <w:spacing w:before="140" w:after="240" w:line="288" w:lineRule="auto"/>
        <w:ind w:left="0" w:right="0"/>
        <w:jc w:val="left"/>
      </w:pPr>
      <w:r>
        <w:rPr>
          <w:rFonts w:ascii="Arial" w:hAnsi="Arial" w:eastAsia="Arial" w:cs="Arial"/>
          <w:color w:val="277DB9"/>
          <w:sz w:val="20"/>
          <w:szCs w:val="20"/>
        </w:rPr>
        <w:t xml:space="preserve">…, am …</w:t>
      </w:r>
    </w:p>
    <w:p>
      <w:pPr>
        <w:widowControl w:val="on"/>
        <w:pBdr/>
        <w:spacing w:before="140" w:after="240" w:line="288" w:lineRule="auto"/>
        <w:ind w:left="0" w:right="0"/>
        <w:jc w:val="left"/>
      </w:pPr>
      <w:r>
        <w:rPr>
          <w:rFonts w:ascii="Arial" w:hAnsi="Arial" w:eastAsia="Arial" w:cs="Arial"/>
          <w:color w:val="277DB9"/>
          <w:sz w:val="20"/>
          <w:szCs w:val="20"/>
        </w:rPr>
        <w:t xml:space="preserve">…</w:t>
      </w:r>
      <w:r>
        <w:rPr>
          <w:rFonts w:ascii="Arial" w:hAnsi="Arial" w:eastAsia="Arial" w:cs="Arial"/>
          <w:color w:val="277DB9"/>
          <w:sz w:val="20"/>
          <w:szCs w:val="20"/>
        </w:rPr>
        <w:br/>
        <w:t xml:space="preserve">X.Y.</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75654">
    <w:multiLevelType w:val="hybridMultilevel"/>
    <w:lvl w:ilvl="0" w:tplc="85532680">
      <w:start w:val="1"/>
      <w:numFmt w:val="decimal"/>
      <w:lvlText w:val="%1."/>
      <w:lvlJc w:val="left"/>
      <w:pPr>
        <w:ind w:left="720" w:hanging="360"/>
      </w:pPr>
    </w:lvl>
    <w:lvl w:ilvl="1" w:tplc="85532680" w:tentative="1">
      <w:start w:val="1"/>
      <w:numFmt w:val="lowerLetter"/>
      <w:lvlText w:val="%2."/>
      <w:lvlJc w:val="left"/>
      <w:pPr>
        <w:ind w:left="1440" w:hanging="360"/>
      </w:pPr>
    </w:lvl>
    <w:lvl w:ilvl="2" w:tplc="85532680" w:tentative="1">
      <w:start w:val="1"/>
      <w:numFmt w:val="lowerRoman"/>
      <w:lvlText w:val="%3."/>
      <w:lvlJc w:val="right"/>
      <w:pPr>
        <w:ind w:left="2160" w:hanging="180"/>
      </w:pPr>
    </w:lvl>
    <w:lvl w:ilvl="3" w:tplc="85532680" w:tentative="1">
      <w:start w:val="1"/>
      <w:numFmt w:val="decimal"/>
      <w:lvlText w:val="%4."/>
      <w:lvlJc w:val="left"/>
      <w:pPr>
        <w:ind w:left="2880" w:hanging="360"/>
      </w:pPr>
    </w:lvl>
    <w:lvl w:ilvl="4" w:tplc="85532680" w:tentative="1">
      <w:start w:val="1"/>
      <w:numFmt w:val="lowerLetter"/>
      <w:lvlText w:val="%5."/>
      <w:lvlJc w:val="left"/>
      <w:pPr>
        <w:ind w:left="3600" w:hanging="360"/>
      </w:pPr>
    </w:lvl>
    <w:lvl w:ilvl="5" w:tplc="85532680" w:tentative="1">
      <w:start w:val="1"/>
      <w:numFmt w:val="lowerRoman"/>
      <w:lvlText w:val="%6."/>
      <w:lvlJc w:val="right"/>
      <w:pPr>
        <w:ind w:left="4320" w:hanging="180"/>
      </w:pPr>
    </w:lvl>
    <w:lvl w:ilvl="6" w:tplc="85532680" w:tentative="1">
      <w:start w:val="1"/>
      <w:numFmt w:val="decimal"/>
      <w:lvlText w:val="%7."/>
      <w:lvlJc w:val="left"/>
      <w:pPr>
        <w:ind w:left="5040" w:hanging="360"/>
      </w:pPr>
    </w:lvl>
    <w:lvl w:ilvl="7" w:tplc="85532680" w:tentative="1">
      <w:start w:val="1"/>
      <w:numFmt w:val="lowerLetter"/>
      <w:lvlText w:val="%8."/>
      <w:lvlJc w:val="left"/>
      <w:pPr>
        <w:ind w:left="5760" w:hanging="360"/>
      </w:pPr>
    </w:lvl>
    <w:lvl w:ilvl="8" w:tplc="85532680" w:tentative="1">
      <w:start w:val="1"/>
      <w:numFmt w:val="lowerRoman"/>
      <w:lvlText w:val="%9."/>
      <w:lvlJc w:val="right"/>
      <w:pPr>
        <w:ind w:left="6480" w:hanging="180"/>
      </w:pPr>
    </w:lvl>
  </w:abstractNum>
  <w:abstractNum w:abstractNumId="45575653">
    <w:multiLevelType w:val="hybridMultilevel"/>
    <w:lvl w:ilvl="0" w:tplc="36625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75653">
    <w:abstractNumId w:val="45575653"/>
  </w:num>
  <w:num w:numId="45575654">
    <w:abstractNumId w:val="45575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49432235" Type="http://schemas.openxmlformats.org/officeDocument/2006/relationships/numbering" Target="numbering.xml"/><Relationship Id="rId41090446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