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0040224" w:name="document"/>
    <w:bookmarkEnd w:id="30040224"/>
    <w:p/>
    <w:p>
      <w:pPr>
        <w:widowControl w:val="on"/>
        <w:pBdr/>
        <w:spacing w:before="0" w:after="280" w:line="240" w:lineRule="auto"/>
        <w:ind w:left="0" w:right="0"/>
        <w:jc w:val="left"/>
      </w:pPr>
      <w:r>
        <w:rPr>
          <w:rFonts w:ascii="Arial" w:hAnsi="Arial" w:eastAsia="Arial" w:cs="Arial"/>
          <w:color w:val="363A40"/>
          <w:sz w:val="24"/>
          <w:szCs w:val="24"/>
        </w:rPr>
        <w:t xml:space="preserve">Dokument-ID: 956265 | Magdalena Ferner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Dienstvertrag mit dem Geschäftsführer einer GmbH</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 näher bezeichneten Datum zwischen der</w:t>
      </w:r>
    </w:p>
    <w:p>
      <w:pPr>
        <w:widowControl w:val="on"/>
        <w:pBdr/>
        <w:spacing w:before="140" w:after="240" w:line="288" w:lineRule="auto"/>
        <w:ind w:left="0" w:right="0"/>
        <w:jc w:val="left"/>
      </w:pPr>
      <w:r>
        <w:rPr>
          <w:rFonts w:ascii="Arial" w:hAnsi="Arial" w:eastAsia="Arial" w:cs="Arial"/>
          <w:color w:val="000000"/>
          <w:sz w:val="20"/>
          <w:szCs w:val="20"/>
        </w:rPr>
        <w:t xml:space="preserve">… GmbH, … [Adresse], FN …, vertreten durch …</w:t>
      </w:r>
      <w:r>
        <w:rPr>
          <w:rFonts w:ascii="Arial" w:hAnsi="Arial" w:eastAsia="Arial" w:cs="Arial"/>
          <w:color w:val="000000"/>
          <w:sz w:val="20"/>
          <w:szCs w:val="20"/>
        </w:rPr>
        <w:br/>
        <w:t xml:space="preserve">im Folgenden kurz Gesellschaft genannt,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Herrn …, … [Adresse], geboren am …</w:t>
      </w:r>
      <w:r>
        <w:rPr>
          <w:rFonts w:ascii="Arial" w:hAnsi="Arial" w:eastAsia="Arial" w:cs="Arial"/>
          <w:color w:val="000000"/>
          <w:sz w:val="20"/>
          <w:szCs w:val="20"/>
        </w:rPr>
        <w:br/>
        <w:t xml:space="preserve">im Folgenden kurz Geschäftsführer genannt, 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Bestellung und Anstellung</w:t>
      </w:r>
    </w:p>
    <w:p>
      <w:pPr>
        <w:widowControl w:val="on"/>
        <w:pBdr/>
        <w:spacing w:before="140" w:after="240" w:line="288" w:lineRule="auto"/>
        <w:ind w:left="0" w:right="0"/>
        <w:jc w:val="left"/>
      </w:pPr>
      <w:r>
        <w:rPr>
          <w:rFonts w:ascii="Arial" w:hAnsi="Arial" w:eastAsia="Arial" w:cs="Arial"/>
          <w:color w:val="000000"/>
          <w:sz w:val="20"/>
          <w:szCs w:val="20"/>
        </w:rPr>
        <w:t xml:space="preserve">Herr … wurde mit Beschluss der Generalversammlung der
Gesellschaft vom … auf unbestimmte Zeit zum handelsrechtlichen
Geschäftsführer der Gesellschaft bestellt.</w:t>
      </w:r>
    </w:p>
    <w:p>
      <w:pPr>
        <w:widowControl w:val="on"/>
        <w:pBdr/>
        <w:spacing w:before="140" w:after="240" w:line="288" w:lineRule="auto"/>
        <w:ind w:left="0" w:right="0"/>
        <w:jc w:val="left"/>
      </w:pPr>
      <w:r>
        <w:rPr>
          <w:rFonts w:ascii="Arial" w:hAnsi="Arial" w:eastAsia="Arial" w:cs="Arial"/>
          <w:color w:val="000000"/>
          <w:sz w:val="20"/>
          <w:szCs w:val="20"/>
        </w:rPr>
        <w:t xml:space="preserve">Herr … hat diese Bestellung angenommen.</w:t>
      </w:r>
    </w:p>
    <w:p>
      <w:pPr>
        <w:widowControl w:val="on"/>
        <w:pBdr/>
        <w:spacing w:before="140" w:after="240" w:line="288" w:lineRule="auto"/>
        <w:ind w:left="0" w:right="0"/>
        <w:jc w:val="left"/>
      </w:pPr>
      <w:r>
        <w:rPr>
          <w:rFonts w:ascii="Arial" w:hAnsi="Arial" w:eastAsia="Arial" w:cs="Arial"/>
          <w:color w:val="000000"/>
          <w:sz w:val="20"/>
          <w:szCs w:val="20"/>
        </w:rPr>
        <w:t xml:space="preserve">Der gegenständliche Anstellungsvertrag regelt die vertraglichen
Beziehungen zwischen dem Geschäftsführer und der Gesellschaft.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Tätigkeitsbereich</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ist selbstständig vertretungsbefugt und zur
Vertretung und Zeichnung der Gesellschaft berechtigt.</w:t>
      </w:r>
    </w:p>
    <w:p>
      <w:pPr>
        <w:widowControl w:val="on"/>
        <w:pBdr/>
        <w:spacing w:before="140" w:after="240" w:line="288" w:lineRule="auto"/>
        <w:ind w:left="0" w:right="0"/>
        <w:jc w:val="left"/>
      </w:pPr>
      <w:r>
        <w:rPr>
          <w:rFonts w:ascii="Arial" w:hAnsi="Arial" w:eastAsia="Arial" w:cs="Arial"/>
          <w:color w:val="000000"/>
          <w:sz w:val="20"/>
          <w:szCs w:val="20"/>
        </w:rPr>
        <w:t xml:space="preserve">Innerhalb der Geschäftsführung der Gesellschaft übernimmt er die
Leitung des Ressorts …</w:t>
      </w:r>
    </w:p>
    <w:p>
      <w:pPr>
        <w:widowControl w:val="on"/>
        <w:pBdr/>
        <w:spacing w:before="140" w:after="240" w:line="288" w:lineRule="auto"/>
        <w:ind w:left="0" w:right="0"/>
        <w:jc w:val="left"/>
      </w:pPr>
      <w:r>
        <w:rPr>
          <w:rFonts w:ascii="Arial" w:hAnsi="Arial" w:eastAsia="Arial" w:cs="Arial"/>
          <w:color w:val="000000"/>
          <w:sz w:val="20"/>
          <w:szCs w:val="20"/>
        </w:rPr>
        <w:t xml:space="preserve">Die Generalversammlung ist berechtigt, eine zumutbare Änderung
der Verwendung sowie die Zuweisung zusätzlicher Tätigkeiten
vorzunehmen und den Aufgabenbereich des Geschäftsführers innerhalb
des Ressorts sowohl zu erweitern als auch einzuengen. Die
organschaftliche Funktion als Geschäftsführer bleibt von dieser
Maßnahme unberührt. Innerhalb des vom Geschäftsführer zu leitenden
Ressorts ist er für die Einhaltung sämtlicher Rechtsvorschriften
und Sicherheitsstandards verantwortlich.</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hat die ihm übertragenen Aufgaben mit der
Sorgfalt eines ordentlichen und gewissenhaften Geschäftsführers
wahrzunehmen.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hat bei seiner Tätigkeit die Gesetze, den
Gesellschaftsvertrag in der jeweils geltenden Fassung, die
verbindlichen Beschlüsse der Generalversammlung und eines
allenfalls bestellten Aufsichtsrates, die Geschäftsordnung für die
Geschäftsführung sowie diesen Anstellungsvertrag zu beachten. Der
Geschäftsführer wird seine Leistungen stets zum Wohle der
Gesellschaft erbringen.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Zustimmungspflichtige
Geschäfte</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bedarf außer in den im Gesellschaftsvertrag
vorgesehenen Fällen der vorhergehenden Zustimmung der
Generalversammlung zur Vornahme folgender Handlungen: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Auswahl der Banken und Wirtschaftsprüfer, mit denen die
Gesellschaft zusammenarbeitet</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Hereinnahme von Sicherheiten und anderer Garantien, die über
die Abwicklung der üblichen Geschäfte hinausgehen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Erteilung von Generalvollmachten und Prokuren sowie der
Abschluss von Anstellungsverträgen, die jährliche Bezüge von über
EUR … im Einzelfall vorsehen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Gewinnzusagen sowie Zusagen auf Gewinn- oder
Umsatzbeteiligungen oder ähnliche Vergütungen sowie
Pensionszusagen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Beteiligungen an anderen Unternehmen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Vertrieb von neuen Produkten, soweit sie nicht von dem
Gesellschaftszweck erfasst sind</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Erwerb und/oder Leasing von Wirtschaftsgütern, deren
Anschaffungswert EUR … im Einzelfall und EUR … insgesamt
übersteigen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Übernahme von Bürgschaften für Darlehen und ähnliche
Kredite</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Abschluss, Änderung und Beendigung von Verträgen mit
verbundenen Unternehmen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Abschluss von Miet- und Pachtverträgen, soweit diese einen
jährlichen Miet- oder Pachtzins von mehr als EUR …
vorsehen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Eröffnung und Schließung von Filialen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Begründung und Aufhebung von stillen
Gesellschaftsverträgen</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Allgemein alle Geschäfte, die wegen ihrer Bedeutung und/oder
ihres Umfangs aus dem Rahmen der Wahrnehmung der laufenden
Geschäfte der Gesellschaft fallen oder mit denen ein
außerordentliches wirtschaftliches und/oder rechtliches Risiko
einhergeht</w:t>
      </w:r>
    </w:p>
    <w:p>
      <w:pPr>
        <w:numPr>
          <w:ilvl w:val="0"/>
          <w:numId w:val="1420287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wird in vertrauensvoller Zusammenarbeit mit
der Generalversammlung, welche die Geschäftspolitik festlegt, seine
Geschäfte eigenverantwortlich führen.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Entgelt</w:t>
      </w:r>
    </w:p>
    <w:p>
      <w:pPr>
        <w:widowControl w:val="on"/>
        <w:pBdr/>
        <w:spacing w:before="140" w:after="240" w:line="288" w:lineRule="auto"/>
        <w:ind w:left="0" w:right="0"/>
        <w:jc w:val="left"/>
      </w:pPr>
      <w:r>
        <w:rPr>
          <w:rFonts w:ascii="Arial" w:hAnsi="Arial" w:eastAsia="Arial" w:cs="Arial"/>
          <w:color w:val="000000"/>
          <w:sz w:val="20"/>
          <w:szCs w:val="20"/>
        </w:rPr>
        <w:t xml:space="preserve">Auf das Dienstverhältnis ist derzeit der Kollektivvertrag für
Angestellte und Lehrlinge in Handelsbetrieben anwendbar, der im …
zur Einsicht aufliegt.</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wird in die Beschäftigungsgruppe …,
Beschäftigungsgruppenjahr … des Kollektivvertrages eingestuft.</w:t>
      </w:r>
    </w:p>
    <w:p>
      <w:pPr>
        <w:widowControl w:val="on"/>
        <w:pBdr/>
        <w:spacing w:before="140" w:after="240" w:line="288" w:lineRule="auto"/>
        <w:ind w:left="0" w:right="0"/>
        <w:jc w:val="left"/>
      </w:pPr>
      <w:r>
        <w:rPr>
          <w:rFonts w:ascii="Arial" w:hAnsi="Arial" w:eastAsia="Arial" w:cs="Arial"/>
          <w:color w:val="000000"/>
          <w:sz w:val="20"/>
          <w:szCs w:val="20"/>
        </w:rPr>
        <w:t xml:space="preserve">Es wird festgehalten, dass der Geschäftsführer mit Datum … eines
jeden Jahres in ein neues Berufsjahr tritt.</w:t>
      </w:r>
    </w:p>
    <w:p>
      <w:pPr>
        <w:widowControl w:val="on"/>
        <w:pBdr/>
        <w:spacing w:before="140" w:after="240" w:line="288" w:lineRule="auto"/>
        <w:ind w:left="0" w:right="0"/>
        <w:jc w:val="left"/>
      </w:pPr>
      <w:r>
        <w:rPr>
          <w:rFonts w:ascii="Arial" w:hAnsi="Arial" w:eastAsia="Arial" w:cs="Arial"/>
          <w:color w:val="000000"/>
          <w:sz w:val="20"/>
          <w:szCs w:val="20"/>
        </w:rPr>
        <w:t xml:space="preserve">Der </w:t>
      </w:r>
      <w:r>
        <w:rPr>
          <w:rFonts w:ascii="Arial" w:hAnsi="Arial" w:eastAsia="Arial" w:cs="Arial"/>
          <w:b/>
          <w:bCs/>
          <w:color w:val="000000"/>
          <w:sz w:val="20"/>
          <w:szCs w:val="20"/>
        </w:rPr>
        <w:t xml:space="preserve">Grundlohn</w:t>
      </w:r>
      <w:r>
        <w:rPr>
          <w:rFonts w:ascii="Arial" w:hAnsi="Arial" w:eastAsia="Arial" w:cs="Arial"/>
          <w:color w:val="000000"/>
          <w:sz w:val="20"/>
          <w:szCs w:val="20"/>
        </w:rPr>
        <w:t xml:space="preserve"> gem § 2 Abs 2 Z 9
AVRAG entspricht dem kollektivvertraglichen Mindestentgelt, welches
EUR … beträgt.</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enthält jedoch als </w:t>
      </w:r>
      <w:r>
        <w:rPr>
          <w:rFonts w:ascii="Arial" w:hAnsi="Arial" w:eastAsia="Arial" w:cs="Arial"/>
          <w:b/>
          <w:bCs/>
          <w:color w:val="000000"/>
          <w:sz w:val="20"/>
          <w:szCs w:val="20"/>
        </w:rPr>
        <w:t xml:space="preserve">All-In
Entgelt</w:t>
      </w:r>
      <w:r>
        <w:rPr>
          <w:rFonts w:ascii="Arial" w:hAnsi="Arial" w:eastAsia="Arial" w:cs="Arial"/>
          <w:color w:val="000000"/>
          <w:sz w:val="20"/>
          <w:szCs w:val="20"/>
        </w:rPr>
        <w:t xml:space="preserve"> für seine gesamte Tätigkeit im Dienste der
Gesellschaft einen jährlichen Bruttobezug von EUR … (in Worten
… Euro), der in 14 gleich großen Teilbeträgen von je EUR … (in
Worten … Euro) brutto ausgezahlt wird. 12 Teile werden immer am
Ende eines jeden Monats fällig. Der 13. Teil des Gehalts wird
gemeinsam mit dem Gehalt für den Monat Juni, der 14. Teil des
Gehaltes mit jenem für den Monat November ausbezahlt.</w:t>
      </w:r>
    </w:p>
    <w:p>
      <w:pPr>
        <w:widowControl w:val="on"/>
        <w:pBdr/>
        <w:spacing w:before="140" w:after="240" w:line="288" w:lineRule="auto"/>
        <w:ind w:left="0" w:right="0"/>
        <w:jc w:val="left"/>
      </w:pPr>
      <w:r>
        <w:rPr>
          <w:rFonts w:ascii="Arial" w:hAnsi="Arial" w:eastAsia="Arial" w:cs="Arial"/>
          <w:color w:val="000000"/>
          <w:sz w:val="20"/>
          <w:szCs w:val="20"/>
        </w:rPr>
        <w:t xml:space="preserve">Damit werden sämtliche Ansprüche für erbrachte Arbeitsleistungen
(insbesondere Mehr- und Überstunden, Arbeit an Sonn- und
Feiertagen, Nachtarbeit, Reisekosten- und
Reiseaufwandentschädigung, Zulagen und Zuschläge, Sonderzahlungen)
abgegolten.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ist bei Bedarf zur Erbringung von
Mehrleistungen verpflichtet und hat seine gesamte Arbeitskraft,
sein Wissen und Können der Gesellschaft zur Verfügung zu
stellen.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Gratifikation</w:t>
      </w:r>
    </w:p>
    <w:p>
      <w:pPr>
        <w:widowControl w:val="on"/>
        <w:pBdr/>
        <w:spacing w:before="140" w:after="240" w:line="288" w:lineRule="auto"/>
        <w:ind w:left="0" w:right="0"/>
        <w:jc w:val="left"/>
      </w:pPr>
      <w:r>
        <w:rPr>
          <w:rFonts w:ascii="Arial" w:hAnsi="Arial" w:eastAsia="Arial" w:cs="Arial"/>
          <w:color w:val="000000"/>
          <w:sz w:val="20"/>
          <w:szCs w:val="20"/>
        </w:rPr>
        <w:t xml:space="preserve">Zusätzlich zum in IV. geregelten Bezug erhält der
Geschäftsführer eine jährliche Gratifikation in Höhe von … %
des Ergebnisses der gewöhnlichen Geschäftstätigkeit gem § 231
Abs 2 Z 17 UGB.</w:t>
      </w:r>
    </w:p>
    <w:p>
      <w:pPr>
        <w:widowControl w:val="on"/>
        <w:pBdr/>
        <w:spacing w:before="140" w:after="240" w:line="288" w:lineRule="auto"/>
        <w:ind w:left="0" w:right="0"/>
        <w:jc w:val="left"/>
      </w:pPr>
      <w:r>
        <w:rPr>
          <w:rFonts w:ascii="Arial" w:hAnsi="Arial" w:eastAsia="Arial" w:cs="Arial"/>
          <w:color w:val="000000"/>
          <w:sz w:val="20"/>
          <w:szCs w:val="20"/>
        </w:rPr>
        <w:t xml:space="preserve">Für diese Gratifikation wird eine jährliche Obergrenze in Höhe
von brutto EUR … vereinbart.</w:t>
      </w:r>
    </w:p>
    <w:p>
      <w:pPr>
        <w:widowControl w:val="on"/>
        <w:pBdr/>
        <w:spacing w:before="140" w:after="240" w:line="288" w:lineRule="auto"/>
        <w:ind w:left="0" w:right="0"/>
        <w:jc w:val="left"/>
      </w:pPr>
      <w:r>
        <w:rPr>
          <w:rFonts w:ascii="Arial" w:hAnsi="Arial" w:eastAsia="Arial" w:cs="Arial"/>
          <w:color w:val="000000"/>
          <w:sz w:val="20"/>
          <w:szCs w:val="20"/>
        </w:rPr>
        <w:t xml:space="preserve">Die Gratifikation ist mit Ablauf jenes Monats fällig, in dem der
Jahresabschluss durch die Generalversammlung genehmigt wurde.</w:t>
      </w:r>
    </w:p>
    <w:p>
      <w:pPr>
        <w:widowControl w:val="on"/>
        <w:pBdr/>
        <w:spacing w:before="140" w:after="240" w:line="288" w:lineRule="auto"/>
        <w:ind w:left="0" w:right="0"/>
        <w:jc w:val="left"/>
      </w:pPr>
      <w:r>
        <w:rPr>
          <w:rFonts w:ascii="Arial" w:hAnsi="Arial" w:eastAsia="Arial" w:cs="Arial"/>
          <w:color w:val="000000"/>
          <w:sz w:val="20"/>
          <w:szCs w:val="20"/>
        </w:rPr>
        <w:t xml:space="preserve">Erfolgt die Bestellung des Geschäftsführers bzw die Beendigung
seiner Tätigkeit während des laufenden Geschäftsjahres, gebührt die
Gratifikation anteilig.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Arbeitszeit</w:t>
      </w:r>
    </w:p>
    <w:p>
      <w:pPr>
        <w:widowControl w:val="on"/>
        <w:pBdr/>
        <w:spacing w:before="140" w:after="240" w:line="288" w:lineRule="auto"/>
        <w:ind w:left="0" w:right="0"/>
        <w:jc w:val="left"/>
      </w:pPr>
      <w:r>
        <w:rPr>
          <w:rFonts w:ascii="Arial" w:hAnsi="Arial" w:eastAsia="Arial" w:cs="Arial"/>
          <w:color w:val="000000"/>
          <w:sz w:val="20"/>
          <w:szCs w:val="20"/>
        </w:rPr>
        <w:t xml:space="preserve">Die wöchentliche Normalarbeitszeit beträgt gemäß dem derzeit
anwendbaren Kollektivvertrag ausschließlich der Pausen 38,5
Stunden.</w:t>
      </w:r>
    </w:p>
    <w:p>
      <w:pPr>
        <w:widowControl w:val="on"/>
        <w:pBdr/>
        <w:spacing w:before="140" w:after="240" w:line="288" w:lineRule="auto"/>
        <w:ind w:left="0" w:right="0"/>
        <w:jc w:val="left"/>
      </w:pPr>
      <w:r>
        <w:rPr>
          <w:rFonts w:ascii="Arial" w:hAnsi="Arial" w:eastAsia="Arial" w:cs="Arial"/>
          <w:color w:val="000000"/>
          <w:sz w:val="20"/>
          <w:szCs w:val="20"/>
        </w:rPr>
        <w:t xml:space="preserve">Die Aufteilung der wöchentlichen Arbeitszeit auf die einzelnen
Arbeitstage wird gesondert vereinbart und erfolgt unter
Bedachtnahme auf die gesetzlichen Bestimmungen und die
betrieblichen Erfordernisse.</w:t>
      </w:r>
    </w:p>
    <w:p>
      <w:pPr>
        <w:widowControl w:val="on"/>
        <w:pBdr/>
        <w:spacing w:before="140" w:after="240" w:line="288" w:lineRule="auto"/>
        <w:ind w:left="0" w:right="0"/>
        <w:jc w:val="left"/>
      </w:pPr>
      <w:r>
        <w:rPr>
          <w:rFonts w:ascii="Arial" w:hAnsi="Arial" w:eastAsia="Arial" w:cs="Arial"/>
          <w:color w:val="000000"/>
          <w:sz w:val="20"/>
          <w:szCs w:val="20"/>
        </w:rPr>
        <w:t xml:space="preserve">Soweit es die betrieblichen Umstände erfordern, ist der
Geschäftsführer zur Leistung von Mehr- und Überstunden
verpflichtet.</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hat Arbeitszeitaufzeichnungen zu führen, die
den gesetzlichen Anforderungen entsprechen.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Dienstort</w:t>
      </w:r>
    </w:p>
    <w:p>
      <w:pPr>
        <w:widowControl w:val="on"/>
        <w:pBdr/>
        <w:spacing w:before="140" w:after="240" w:line="288" w:lineRule="auto"/>
        <w:ind w:left="0" w:right="0"/>
        <w:jc w:val="left"/>
      </w:pPr>
      <w:r>
        <w:rPr>
          <w:rFonts w:ascii="Arial" w:hAnsi="Arial" w:eastAsia="Arial" w:cs="Arial"/>
          <w:color w:val="000000"/>
          <w:sz w:val="20"/>
          <w:szCs w:val="20"/>
        </w:rPr>
        <w:t xml:space="preserve">Als Dienstort wird … vereinbart. Der Gesellschaft bleibt es
jedoch vorbehalten, den Geschäftsführer an anderen Arbeitsorten
vorübergehend oder dauernd einzusetzen, soweit dies dem
Geschäftsführer zumutbar ist.</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erklärt sich damit einverstanden,
Dienstreisen sowohl im Inland als auch im Ausland zu
unternehmen.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Geheimhaltungspflicht</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ist verpflichtet, über vertrauliche Angaben
Stillschweigen zu bewahren und sämtliche Geschäfts- und
Betriebsgeheimnisse der Gesellschaft gegenüber jedem Dritten und,
wenn dies im Interesse der Gesellschaft geboten erscheint, auch
gegenüber Angehörigen der Gesellschaft, soweit diese nicht kraft
ihrer dienstlichen Funktion und Tätigkeit zur Entgegennahme
derartiger Mitteilungen befugt sind, geheim zu halten. Er wird auch
die Bestimmungen des Datenschutzgesetzes (insb § 15 DSG)
einhalten.</w:t>
      </w:r>
    </w:p>
    <w:p>
      <w:pPr>
        <w:widowControl w:val="on"/>
        <w:pBdr/>
        <w:spacing w:before="140" w:after="240" w:line="288" w:lineRule="auto"/>
        <w:ind w:left="0" w:right="0"/>
        <w:jc w:val="left"/>
      </w:pPr>
      <w:r>
        <w:rPr>
          <w:rFonts w:ascii="Arial" w:hAnsi="Arial" w:eastAsia="Arial" w:cs="Arial"/>
          <w:color w:val="000000"/>
          <w:sz w:val="20"/>
          <w:szCs w:val="20"/>
        </w:rPr>
        <w:t xml:space="preserve">Als Geschäfts- und Betriebsgeheimnisse sind ohne Rücksicht auf
Patentierfähigkeit, Werkhöhe oder sonstige rechtliche
Schutzfähigkeit alle im Zuge der dienstlichen Tätigkeit des
Geschäftsführers für die Gesellschaft gewonnenen
Arbeitsgeheimnisse, Beobachtungen, Erfahrungen und sonstigen
Kenntnisse zu verstehen, deren Geheimhaltung nach dem
pflichtgemäßen Ermessen eines gewissenhaften Geschäftsführers als
geheimhaltungsbedürftig anzusehen sind und/oder deren Geheimhaltung
aus anderen Gründen im Interesse der Gesellschaft geboten
erscheint.</w:t>
      </w:r>
    </w:p>
    <w:p>
      <w:pPr>
        <w:widowControl w:val="on"/>
        <w:pBdr/>
        <w:spacing w:before="140" w:after="240" w:line="288" w:lineRule="auto"/>
        <w:ind w:left="0" w:right="0"/>
        <w:jc w:val="left"/>
      </w:pPr>
      <w:r>
        <w:rPr>
          <w:rFonts w:ascii="Arial" w:hAnsi="Arial" w:eastAsia="Arial" w:cs="Arial"/>
          <w:color w:val="000000"/>
          <w:sz w:val="20"/>
          <w:szCs w:val="20"/>
        </w:rPr>
        <w:t xml:space="preserve">Diese Verpflichtungen bestehen auch über das Ende des
Dienstverhältnisses hinaus.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Abfertigung</w:t>
      </w:r>
    </w:p>
    <w:p>
      <w:pPr>
        <w:widowControl w:val="on"/>
        <w:pBdr/>
        <w:spacing w:before="140" w:after="240" w:line="288" w:lineRule="auto"/>
        <w:ind w:left="0" w:right="0"/>
        <w:jc w:val="left"/>
      </w:pPr>
      <w:r>
        <w:rPr>
          <w:rFonts w:ascii="Arial" w:hAnsi="Arial" w:eastAsia="Arial" w:cs="Arial"/>
          <w:color w:val="000000"/>
          <w:sz w:val="20"/>
          <w:szCs w:val="20"/>
        </w:rPr>
        <w:t xml:space="preserve">Dem Geschäftsführer gebührt eine Abfertigung nach den
Bestimmungen des Angestelltengesetzes. Die Beiträge nach dem BMSVG
werden an die … Kasse entrichtet.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Versicherungsschutz</w:t>
      </w:r>
    </w:p>
    <w:p>
      <w:pPr>
        <w:widowControl w:val="on"/>
        <w:pBdr/>
        <w:spacing w:before="140" w:after="240" w:line="288" w:lineRule="auto"/>
        <w:ind w:left="0" w:right="0"/>
        <w:jc w:val="left"/>
      </w:pPr>
      <w:r>
        <w:rPr>
          <w:rFonts w:ascii="Arial" w:hAnsi="Arial" w:eastAsia="Arial" w:cs="Arial"/>
          <w:color w:val="000000"/>
          <w:sz w:val="20"/>
          <w:szCs w:val="20"/>
        </w:rPr>
        <w:t xml:space="preserve">Für die Dauer der Tätigkeit des Geschäftsführers für die
Gesellschaft hat diese den Geschäftsführer zu seinen Gunsten auf
Kosten der Gesellschaft mit nachstehenden Versicherungssummen gegen
Unfall versichert:</w:t>
      </w:r>
    </w:p>
    <w:p>
      <w:pPr>
        <w:widowControl w:val="on"/>
        <w:pBdr/>
        <w:spacing w:before="140" w:after="240" w:line="288" w:lineRule="auto"/>
        <w:ind w:left="0" w:right="0"/>
        <w:jc w:val="left"/>
      </w:pPr>
      <w:r>
        <w:rPr>
          <w:rFonts w:ascii="Arial" w:hAnsi="Arial" w:eastAsia="Arial" w:cs="Arial"/>
          <w:color w:val="000000"/>
          <w:sz w:val="20"/>
          <w:szCs w:val="20"/>
        </w:rPr>
        <w:t xml:space="preserve">Unfalltod: EUR …</w:t>
      </w:r>
    </w:p>
    <w:p>
      <w:pPr>
        <w:widowControl w:val="on"/>
        <w:pBdr/>
        <w:spacing w:before="140" w:after="240" w:line="288" w:lineRule="auto"/>
        <w:ind w:left="0" w:right="0"/>
        <w:jc w:val="left"/>
      </w:pPr>
      <w:r>
        <w:rPr>
          <w:rFonts w:ascii="Arial" w:hAnsi="Arial" w:eastAsia="Arial" w:cs="Arial"/>
          <w:color w:val="000000"/>
          <w:sz w:val="20"/>
          <w:szCs w:val="20"/>
        </w:rPr>
        <w:t xml:space="preserve">Bleibende Invalidität: EUR …</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ist berechtigt, den oder die Begünstigten
für den Todesfall zu bestimmen.</w:t>
      </w:r>
    </w:p>
    <w:p>
      <w:pPr>
        <w:widowControl w:val="on"/>
        <w:pBdr/>
        <w:spacing w:before="140" w:after="240" w:line="288" w:lineRule="auto"/>
        <w:ind w:left="0" w:right="0"/>
        <w:jc w:val="left"/>
      </w:pPr>
      <w:r>
        <w:rPr>
          <w:rFonts w:ascii="Arial" w:hAnsi="Arial" w:eastAsia="Arial" w:cs="Arial"/>
          <w:color w:val="000000"/>
          <w:sz w:val="20"/>
          <w:szCs w:val="20"/>
        </w:rPr>
        <w:t xml:space="preserve">Darüber hinaus hat die Gesellschaft auf ihre Kosten zugunsten
des Geschäftsführers eine D &amp; O-Versicherung, …
abgeschlossen.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Dienstverhinderung</w:t>
      </w:r>
    </w:p>
    <w:p>
      <w:pPr>
        <w:widowControl w:val="on"/>
        <w:pBdr/>
        <w:spacing w:before="140" w:after="240" w:line="288" w:lineRule="auto"/>
        <w:ind w:left="0" w:right="0"/>
        <w:jc w:val="left"/>
      </w:pPr>
      <w:r>
        <w:rPr>
          <w:rFonts w:ascii="Arial" w:hAnsi="Arial" w:eastAsia="Arial" w:cs="Arial"/>
          <w:color w:val="000000"/>
          <w:sz w:val="20"/>
          <w:szCs w:val="20"/>
        </w:rPr>
        <w:t xml:space="preserve">Jegliche Dienstverhinderung ist vom Geschäftsführer unverzüglich
den übrigen Gesellschaftern schriftlich mitzuteilen, wobei die
voraussichtliche Dauer seiner Abwesenheit bekannt zu geben 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Wettbewerbsverbot,
Nebentätigkeiten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hat das Wettbewerbsverbot des § 24
GmbHG zu beachten.</w:t>
      </w:r>
    </w:p>
    <w:p>
      <w:pPr>
        <w:widowControl w:val="on"/>
        <w:pBdr/>
        <w:spacing w:before="140" w:after="240" w:line="288" w:lineRule="auto"/>
        <w:ind w:left="0" w:right="0"/>
        <w:jc w:val="left"/>
      </w:pPr>
      <w:r>
        <w:rPr>
          <w:rFonts w:ascii="Arial" w:hAnsi="Arial" w:eastAsia="Arial" w:cs="Arial"/>
          <w:color w:val="000000"/>
          <w:sz w:val="20"/>
          <w:szCs w:val="20"/>
        </w:rPr>
        <w:t xml:space="preserve">Es ist ihm daher untersagt, ohne schriftliche Einwilligung der
Gesellschaft Geschäfte in deren Geschäftszweig für eigene oder
fremde Rechnung zu machen oder sich bei einer Gesellschaft des
gleichen Geschäftszweiges als persönlich haftender Gesellschafter
zu beteiligen oder eine Stelle im Vorstand oder Aufsichtsrat oder
als Geschäftsführer zu bekleiden.</w:t>
      </w:r>
    </w:p>
    <w:p>
      <w:pPr>
        <w:widowControl w:val="on"/>
        <w:pBdr/>
        <w:spacing w:before="140" w:after="240" w:line="288" w:lineRule="auto"/>
        <w:ind w:left="0" w:right="0"/>
        <w:jc w:val="left"/>
      </w:pPr>
      <w:r>
        <w:rPr>
          <w:rFonts w:ascii="Arial" w:hAnsi="Arial" w:eastAsia="Arial" w:cs="Arial"/>
          <w:color w:val="000000"/>
          <w:sz w:val="20"/>
          <w:szCs w:val="20"/>
        </w:rPr>
        <w:t xml:space="preserve">Im Falle der Übertretung dieses Verbotes ist die Gesellschaft
berechtigt, Schadenersatz zu fordern oder stattdessen zu verlangen,
dass die für Rechnung des Geschäftsführers gemachten Geschäfte als
für ihre Rechnung geschlossen angesehen werden. Bezüglich der für
fremde Rechnung geschlossenen Geschäfte kann die Gesellschaft die
Herausgabe der hiefür bezogenen Vergütung oder Abtretung des
Anspruches auf die Vergütung begehren.</w:t>
      </w:r>
    </w:p>
    <w:p>
      <w:pPr>
        <w:widowControl w:val="on"/>
        <w:pBdr/>
        <w:spacing w:before="140" w:after="240" w:line="288" w:lineRule="auto"/>
        <w:ind w:left="0" w:right="0"/>
        <w:jc w:val="left"/>
      </w:pPr>
      <w:r>
        <w:rPr>
          <w:rFonts w:ascii="Arial" w:hAnsi="Arial" w:eastAsia="Arial" w:cs="Arial"/>
          <w:color w:val="000000"/>
          <w:sz w:val="20"/>
          <w:szCs w:val="20"/>
        </w:rPr>
        <w:t xml:space="preserve">Auch sonstige unentgeltliche oder entgeltliche Nebentätigkeiten
des Geschäftsführers bedürfen der vorherigen schriftlichen
Genehmigung durch die Gesellschaft. Die Genehmigung ist zu
erteilen, falls die Gesellschaft kein berechtigtes Interesse an der
Unterlassung der Nebentätigkeit geltend machen kann, insbesondere
keine konkurrenzierende Tätigkeit vorliegt und weder materielle
noch ideelle Interessen der Gesellschaft beeinträchtigt werden.</w:t>
      </w:r>
    </w:p>
    <w:p>
      <w:pPr>
        <w:widowControl w:val="on"/>
        <w:pBdr/>
        <w:spacing w:before="140" w:after="240" w:line="288" w:lineRule="auto"/>
        <w:ind w:left="0" w:right="0"/>
        <w:jc w:val="left"/>
      </w:pPr>
      <w:r>
        <w:rPr>
          <w:rFonts w:ascii="Arial" w:hAnsi="Arial" w:eastAsia="Arial" w:cs="Arial"/>
          <w:color w:val="000000"/>
          <w:sz w:val="20"/>
          <w:szCs w:val="20"/>
        </w:rPr>
        <w:t xml:space="preserve">Das Genehmigungserfordernis gilt auch für Beteiligungen des
Geschäftsführers an Drittfirmen, die in einem direkten oder
indirekten Konkurrenzverhältnis zur Gesellschaft stehen und die
Beteiligung nicht über eine Minderbeteiligung hinausgeht. Unter
einer Minderbeteiligung ist hiebei eine Beteiligung von maximal
5 % zu verstehen.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Übernahme von
Organfunktionen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wird, soferne dieses Ersuchen von der
Gesellschaft an ihn herangetragen wird und zumutbar ist,
Aufsichtsratsmandate und ähnliche Funktionen in Mutter-Tochter- und
Beteiligungsunternehmen gegen angemessenes Honorar übernehmen.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ist verpflichtet, die vorgenannten
Funktionen bei Beendigung dieses Vertrages oder auf Verlangen der
Generalversammlung unverzüglich niederzulegen.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Wahrung der
Gesellschaftsinteressen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ist verpflichtet primär die Interessen der
Gesellschaft zu wahren. Der Geschäftsführer hat bei Abschluss von
Verträgen, an denen er selbst, ein ihm nahe stehendes Unternehmen
(das ist ein Unternehmen, an dem er nicht bloß eine
Minderbeteiligung von unter 5 % hält) oder eine ihm nahe
stehende Person (Ehegatte, Lebensgefährte, Geschwister und
Verwandte in gerader Linie) ein rechtliches oder wirtschaftliches
Interesse hat, die Zustimmung der Gesellschaft einzuholen.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Urlaub</w:t>
      </w:r>
    </w:p>
    <w:p>
      <w:pPr>
        <w:widowControl w:val="on"/>
        <w:pBdr/>
        <w:spacing w:before="140" w:after="240" w:line="288" w:lineRule="auto"/>
        <w:ind w:left="0" w:right="0"/>
        <w:jc w:val="left"/>
      </w:pPr>
      <w:r>
        <w:rPr>
          <w:rFonts w:ascii="Arial" w:hAnsi="Arial" w:eastAsia="Arial" w:cs="Arial"/>
          <w:color w:val="000000"/>
          <w:sz w:val="20"/>
          <w:szCs w:val="20"/>
        </w:rPr>
        <w:t xml:space="preserve">Der Urlaubsanspruch des Geschäftsführers richtet sich nach den
Bestimmungen des Urlaubsgesetzes in der jeweils geltenden Fassung
mit der Maßgabe, dass der Zeitpunkt des Urlaubsantrittes mit den
anderen Geschäftsführern abzustimmen 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Dienstwagen, Dienstreisen,
Auslagenersatz</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stellt dem Geschäftsführer gegen jederzeitigen
Widerruf einen Dienstwagen gemäß den derzeit anwendbaren
Richtlinien des Dienstgebers über Dienstwagen zur Verfügung. Der
Dienstgeber kann den Dienstwagen für dienstliche und private Zwecke
verwenden.</w:t>
      </w:r>
    </w:p>
    <w:p>
      <w:pPr>
        <w:widowControl w:val="on"/>
        <w:pBdr/>
        <w:spacing w:before="140" w:after="240" w:line="288" w:lineRule="auto"/>
        <w:ind w:left="0" w:right="0"/>
        <w:jc w:val="left"/>
      </w:pPr>
      <w:r>
        <w:rPr>
          <w:rFonts w:ascii="Arial" w:hAnsi="Arial" w:eastAsia="Arial" w:cs="Arial"/>
          <w:color w:val="000000"/>
          <w:sz w:val="20"/>
          <w:szCs w:val="20"/>
        </w:rPr>
        <w:t xml:space="preserve">Auf Dienstreisen hat der Geschäftsführer Anspruch auf Benützung
der 1. Zugsklasse und der Business-Class auf Flugreisen.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 Konkurrenzklausel</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verpflichtet sich, während der Dauer eines
Jahres nach Beendigung des vorliegenden Anstellungsvertrages nicht
im Geschäftszweig der Gesellschaft, sei es für eigene oder fremde
Rechnung, selbstständig oder unselbstständig, tätig zu sein.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verpflichtet sich, für den oben genannten
Zeitraum einen solchen Betrieb weder zu beraten oder zu
fördern.</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verpflichtet sich für den Fall der
Verletzung dieser Konkurrenzklausel zur Zahlung einer
Konventionalstrafe in der Höhe von EUR …</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XVIII. Vertragsdauer</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tritt mit Unterfertigung durch beide
Vertragsteile in Kraft und wird auf unbestimmte Zeit
abgeschlossen.</w:t>
      </w:r>
    </w:p>
    <w:p>
      <w:pPr>
        <w:widowControl w:val="on"/>
        <w:pBdr/>
        <w:spacing w:before="140" w:after="240" w:line="288" w:lineRule="auto"/>
        <w:ind w:left="0" w:right="0"/>
        <w:jc w:val="left"/>
      </w:pPr>
      <w:r>
        <w:rPr>
          <w:rFonts w:ascii="Arial" w:hAnsi="Arial" w:eastAsia="Arial" w:cs="Arial"/>
          <w:color w:val="000000"/>
          <w:sz w:val="20"/>
          <w:szCs w:val="20"/>
        </w:rPr>
        <w:t xml:space="preserve">Er kann von beiden Parteien jeweils unter Einhaltung der
gesetzlichen und kollektivvertraglichen Kündigungsfristen zum
Fünfzehnten oder Letzten eines jeden Kalendermonats gelöst werden
(§ 20 Abs 3 AngG).</w:t>
      </w:r>
    </w:p>
    <w:p>
      <w:pPr>
        <w:widowControl w:val="on"/>
        <w:pBdr/>
        <w:spacing w:before="140" w:after="240" w:line="288" w:lineRule="auto"/>
        <w:ind w:left="0" w:right="0"/>
        <w:jc w:val="left"/>
      </w:pPr>
      <w:r>
        <w:rPr>
          <w:rFonts w:ascii="Arial" w:hAnsi="Arial" w:eastAsia="Arial" w:cs="Arial"/>
          <w:color w:val="000000"/>
          <w:sz w:val="20"/>
          <w:szCs w:val="20"/>
        </w:rPr>
        <w:t xml:space="preserve">Die Bestellung des Geschäftsführers kann durch Beschluss der
Generalversammlung ungeachtet der Ansprüche aus dem vorliegenden
Vertrag jederzeit widerrufen werden. Der Widerruf gilt als
Kündigung des Anstellungsvertrags zum nächstmöglichen Termin.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XIX. Rückgabeverpflichtung</w:t>
      </w:r>
    </w:p>
    <w:p>
      <w:pPr>
        <w:widowControl w:val="on"/>
        <w:pBdr/>
        <w:spacing w:before="140" w:after="240" w:line="288" w:lineRule="auto"/>
        <w:ind w:left="0" w:right="0"/>
        <w:jc w:val="left"/>
      </w:pPr>
      <w:r>
        <w:rPr>
          <w:rFonts w:ascii="Arial" w:hAnsi="Arial" w:eastAsia="Arial" w:cs="Arial"/>
          <w:color w:val="000000"/>
          <w:sz w:val="20"/>
          <w:szCs w:val="20"/>
        </w:rPr>
        <w:t xml:space="preserve">Mit Beendigung dieses Anstellungsvertrages hat der
Geschäftsführer alle noch in seinem Besitz befindlichen Dokumente
und Unterlagen, welche den Tätigkeitsbereich der Gesellschaft
betreffen, zurückzugeben. Diese Verpflichtung bezieht sich auch auf
Schriftstücke, die an den Geschäftsführer persönlich, jedoch in
seiner Funktion als Organwalter der Gesellschaft, gerichtet waren.
Die Rückgabeverpflichtung bezieht sich auch auf sämtliche Kopien
von Schriftstücken, wobei es unbeachtlich ist, ob die Gesellschaft
im Besitz des Originals ist oder nicht. Ein Zurückbehaltungsrecht,
auf welcher Rechtsgrundlage auch immer beruhend, ist in jedem Fall
ausgeschlossen.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XX. Verfall</w:t>
      </w:r>
    </w:p>
    <w:p>
      <w:pPr>
        <w:widowControl w:val="on"/>
        <w:pBdr/>
        <w:spacing w:before="140" w:after="240" w:line="288" w:lineRule="auto"/>
        <w:ind w:left="0" w:right="0"/>
        <w:jc w:val="left"/>
      </w:pPr>
      <w:r>
        <w:rPr>
          <w:rFonts w:ascii="Arial" w:hAnsi="Arial" w:eastAsia="Arial" w:cs="Arial"/>
          <w:color w:val="000000"/>
          <w:sz w:val="20"/>
          <w:szCs w:val="20"/>
        </w:rPr>
        <w:t xml:space="preserve">Der Geschäftsführer ist verpflichtet, sämtliche Forderungen aus
dem Arbeitsverhältnis, gleichgültig auf welchem Rechtsgrund sie
beruhen, innerhalb von drei Monaten nach Fälligkeit schriftlich
geltend zu machen, soweit keine günstigeren gesetzlichen oder
kollektivvertraglichen Regelungen bestehen.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XXI. Schlussbestimmungen</w:t>
      </w:r>
    </w:p>
    <w:p>
      <w:pPr>
        <w:widowControl w:val="on"/>
        <w:pBdr/>
        <w:spacing w:before="140" w:after="240" w:line="288" w:lineRule="auto"/>
        <w:ind w:left="0" w:right="0"/>
        <w:jc w:val="left"/>
      </w:pPr>
      <w:r>
        <w:rPr>
          <w:rFonts w:ascii="Arial" w:hAnsi="Arial" w:eastAsia="Arial" w:cs="Arial"/>
          <w:color w:val="000000"/>
          <w:sz w:val="20"/>
          <w:szCs w:val="20"/>
        </w:rPr>
        <w:t xml:space="preserve">Sollten eine oder mehrere in diesem Vertrag enthaltene
Bestimmungen nichtig oder unwirksam sein oder ihre Wirksamkeit
durch spätere Umstände verlieren, oder eine von beiden Parteien
einvernehmlich festgestellte Vertragslücke bestehen, so wird
hierdurch die Gültigkeit der übrigen Bestimmungen nicht berührt.
Die Vertragsparteien verpflichten sich für diesen Fall, den Vertrag
durch eine dem rechtlichen und wirtschaftlichen Zweck der
ungültigen oder unvollständigen Vertragsbestimmung entsprechende
wirksame zu ergänzen.</w:t>
      </w:r>
    </w:p>
    <w:p>
      <w:pPr>
        <w:widowControl w:val="on"/>
        <w:pBdr/>
        <w:spacing w:before="140" w:after="240" w:line="288" w:lineRule="auto"/>
        <w:ind w:left="0" w:right="0"/>
        <w:jc w:val="left"/>
      </w:pPr>
      <w:r>
        <w:rPr>
          <w:rFonts w:ascii="Arial" w:hAnsi="Arial" w:eastAsia="Arial" w:cs="Arial"/>
          <w:color w:val="000000"/>
          <w:sz w:val="20"/>
          <w:szCs w:val="20"/>
        </w:rPr>
        <w:t xml:space="preserve">Abänderungen und Zusätze zu dieser Vereinbarung sind nur
rechtswirksam, wenn sie schriftlich festgehalten sind. Dieses
Formerfordernis gilt auch für ein Abgehen von diesem
Schriftformerfordernis.</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dieses Vertrages entstehenden
Kosten und Gebühren werden von der Gesellschaft getragen. Die
Kosten rechtsfreundlicher Vertretung hat jede Partei selbst zu
tragen.</w:t>
      </w:r>
    </w:p>
    <w:p>
      <w:pPr>
        <w:widowControl w:val="on"/>
        <w:pBdr/>
        <w:spacing w:before="140" w:after="240" w:line="288" w:lineRule="auto"/>
        <w:ind w:left="0" w:right="0"/>
        <w:jc w:val="left"/>
      </w:pPr>
      <w:r>
        <w:rPr>
          <w:rFonts w:ascii="Arial" w:hAnsi="Arial" w:eastAsia="Arial" w:cs="Arial"/>
          <w:color w:val="000000"/>
          <w:sz w:val="20"/>
          <w:szCs w:val="20"/>
        </w:rPr>
        <w:t xml:space="preserve">Der vorliegende Vertrag wird sowohl in deutscher als auch in
englischer Sprache ausgefertigt. Der Geschäftsführer erhält den in
deutscher Sprache verfassten Vertrag, die Gesellschaft den in
englischer Sprache verfassten Vertrag.</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der vorliegende Vertrag ausschließlich
österreichischem Recht unterliegt. Dies gilt sowohl für die Frage
des Zustandekommens dieses Vertrages und die Rechtsfragen seiner
Nachwirkung. Im Fall einer strittigen Vertragsauslegung ist
ausschließlich die deutsche Fassung maßgeblich.</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Die Gesellschaft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Geschäftsführer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4869258" w:name="note1"/>
            <w:bookmarkEnd w:id="14869258"/>
            <w:bookmarkStart w:id="8168163411809" w:name="note1"/>
            <w:r>
              <w:rPr>
                <w:rFonts w:ascii="Arial" w:hAnsi="Arial" w:eastAsia="Arial" w:cs="Arial"/>
                <w:b/>
                <w:bCs/>
                <w:color w:val="000000"/>
                <w:position w:val="0"/>
                <w:sz w:val="20"/>
                <w:szCs w:val="20"/>
              </w:rPr>
              <w:t xml:space="preserve">[1]</w:t>
            </w:r>
            <w:bookmarkEnd w:id="816816341180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Anstellungsvertrag von Vorstandsmitgliedern der AG oder von
Geschäftsführern der GmbH muss keineswegs immer ein Dienstvertrag
iSd §§ 1151 ff ABGB sein; nach dem Inhalt der zwischen der
Gesellschaft und dem Geschäftsführer getroffenen Vereinbarungen
kann der Anstellung im Einzelfall auch ein so genannter „freier
Dienstvertrag“, gegebenenfalls aber auch nur ein Werkvertrag oder
ein Auftragsverhältnis zugrunde liegen (Ris-Justiz
RS0027929).</w:t>
            </w:r>
            <w:r>
              <w:rPr>
                <w:rFonts w:ascii="Arial" w:hAnsi="Arial" w:eastAsia="Arial" w:cs="Arial"/>
                <w:color w:val="000000"/>
                <w:position w:val="0"/>
                <w:sz w:val="20"/>
                <w:szCs w:val="20"/>
              </w:rPr>
              <w:br/>
              <w:t xml:space="preserve">Das gegenständliche Muster stellt auf einen echten
</w:t>
            </w:r>
            <w:r>
              <w:rPr>
                <w:rFonts w:ascii="Arial" w:hAnsi="Arial" w:eastAsia="Arial" w:cs="Arial"/>
                <w:b/>
                <w:bCs/>
                <w:color w:val="000000"/>
                <w:position w:val="0"/>
                <w:sz w:val="20"/>
                <w:szCs w:val="20"/>
              </w:rPr>
              <w:t xml:space="preserve">Dienstvertrag mit einem Fremdgeschäftsführer</w:t>
            </w:r>
            <w:r>
              <w:rPr>
                <w:rFonts w:ascii="Arial" w:hAnsi="Arial" w:eastAsia="Arial" w:cs="Arial"/>
                <w:color w:val="000000"/>
                <w:position w:val="0"/>
                <w:sz w:val="20"/>
                <w:szCs w:val="20"/>
              </w:rPr>
              <w:t xml:space="preserve"> ab,
auf den der </w:t>
            </w:r>
            <w:r>
              <w:rPr>
                <w:rFonts w:ascii="Arial" w:hAnsi="Arial" w:eastAsia="Arial" w:cs="Arial"/>
                <w:b/>
                <w:bCs/>
                <w:color w:val="000000"/>
                <w:position w:val="0"/>
                <w:sz w:val="20"/>
                <w:szCs w:val="20"/>
              </w:rPr>
              <w:t xml:space="preserve">Kollektivvertrag für Angestellte und Lehrlinge
in Handelsbetrieben</w:t>
            </w:r>
            <w:r>
              <w:rPr>
                <w:rFonts w:ascii="Arial" w:hAnsi="Arial" w:eastAsia="Arial" w:cs="Arial"/>
                <w:color w:val="000000"/>
                <w:position w:val="0"/>
                <w:sz w:val="20"/>
                <w:szCs w:val="20"/>
              </w:rPr>
              <w:t xml:space="preserve"> anwendbar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müssen nach den Umständen des Einzelfalls vor Verwendung des
Vertragsmusters entsprechende Anpassungen erfolgen.</w:t>
            </w:r>
            <w:r>
              <w:rPr>
                <w:rFonts w:ascii="Arial" w:hAnsi="Arial" w:eastAsia="Arial" w:cs="Arial"/>
                <w:color w:val="000000"/>
                <w:position w:val="0"/>
                <w:sz w:val="20"/>
                <w:szCs w:val="20"/>
              </w:rPr>
              <w:br/>
              <w:t xml:space="preserve">Rechtlich kommt im gegenständlichen Fall aufgrund der Tatsache,
dass ein echter Dienstvertrag vorliegt, neben dem Kollektivvertrag
für Angestellte und Lehrlinge in Handelsbetrieben ua das
</w:t>
            </w:r>
            <w:r>
              <w:rPr>
                <w:rFonts w:ascii="Arial" w:hAnsi="Arial" w:eastAsia="Arial" w:cs="Arial"/>
                <w:b/>
                <w:bCs/>
                <w:color w:val="000000"/>
                <w:position w:val="0"/>
                <w:sz w:val="20"/>
                <w:szCs w:val="20"/>
              </w:rPr>
              <w:t xml:space="preserve">AngG</w:t>
            </w:r>
            <w:r>
              <w:rPr>
                <w:rFonts w:ascii="Arial" w:hAnsi="Arial" w:eastAsia="Arial" w:cs="Arial"/>
                <w:color w:val="000000"/>
                <w:position w:val="0"/>
                <w:sz w:val="20"/>
                <w:szCs w:val="20"/>
              </w:rPr>
              <w:t xml:space="preserve">, das </w:t>
            </w:r>
            <w:r>
              <w:rPr>
                <w:rFonts w:ascii="Arial" w:hAnsi="Arial" w:eastAsia="Arial" w:cs="Arial"/>
                <w:b/>
                <w:bCs/>
                <w:color w:val="000000"/>
                <w:position w:val="0"/>
                <w:sz w:val="20"/>
                <w:szCs w:val="20"/>
              </w:rPr>
              <w:t xml:space="preserve">AVRAG</w:t>
            </w:r>
            <w:r>
              <w:rPr>
                <w:rFonts w:ascii="Arial" w:hAnsi="Arial" w:eastAsia="Arial" w:cs="Arial"/>
                <w:color w:val="000000"/>
                <w:position w:val="0"/>
                <w:sz w:val="20"/>
                <w:szCs w:val="20"/>
              </w:rPr>
              <w:t xml:space="preserve">, das
</w:t>
            </w:r>
            <w:r>
              <w:rPr>
                <w:rFonts w:ascii="Arial" w:hAnsi="Arial" w:eastAsia="Arial" w:cs="Arial"/>
                <w:b/>
                <w:bCs/>
                <w:color w:val="000000"/>
                <w:position w:val="0"/>
                <w:sz w:val="20"/>
                <w:szCs w:val="20"/>
              </w:rPr>
              <w:t xml:space="preserve">LSD-BG, das BMSVG</w:t>
            </w:r>
            <w:r>
              <w:rPr>
                <w:rFonts w:ascii="Arial" w:hAnsi="Arial" w:eastAsia="Arial" w:cs="Arial"/>
                <w:color w:val="000000"/>
                <w:position w:val="0"/>
                <w:sz w:val="20"/>
                <w:szCs w:val="20"/>
              </w:rPr>
              <w:t xml:space="preserve"> und das
</w:t>
            </w:r>
            <w:r>
              <w:rPr>
                <w:rFonts w:ascii="Arial" w:hAnsi="Arial" w:eastAsia="Arial" w:cs="Arial"/>
                <w:b/>
                <w:bCs/>
                <w:color w:val="000000"/>
                <w:position w:val="0"/>
                <w:sz w:val="20"/>
                <w:szCs w:val="20"/>
              </w:rPr>
              <w:t xml:space="preserve">Urlaubsgesetz</w:t>
            </w:r>
            <w:r>
              <w:rPr>
                <w:rFonts w:ascii="Arial" w:hAnsi="Arial" w:eastAsia="Arial" w:cs="Arial"/>
                <w:color w:val="000000"/>
                <w:position w:val="0"/>
                <w:sz w:val="20"/>
                <w:szCs w:val="20"/>
              </w:rPr>
              <w:t xml:space="preserve"> zur Anwendung.</w:t>
            </w:r>
          </w:p>
        </w:tc>
      </w:tr>
    </w:tbl>
    <w:p/>
    <w:tbl>
      <w:tblPr>
        <w:tblStyle w:val="NormalTablePHPDOCX"/>
        <w:tblW w:w="0" w:type="auto"/>
        <w:tblInd w:w="0" w:type="auto"/>
        <w:tblBorders/>
      </w:tblPr>
      <w:tblGrid>
        <w:gridCol w:w="1"/>
        <w:gridCol w:w="1"/>
        <w:gridCol w:w="1"/>
        <w:gridCol w:w="1"/>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347123" w:name="note2"/>
            <w:bookmarkEnd w:id="57347123"/>
            <w:bookmarkStart w:id="2982945744222" w:name="note2"/>
            <w:r>
              <w:rPr>
                <w:rFonts w:ascii="Arial" w:hAnsi="Arial" w:eastAsia="Arial" w:cs="Arial"/>
                <w:b/>
                <w:bCs/>
                <w:color w:val="000000"/>
                <w:position w:val="0"/>
                <w:sz w:val="20"/>
                <w:szCs w:val="20"/>
              </w:rPr>
              <w:t xml:space="preserve">[2]</w:t>
            </w:r>
            <w:bookmarkEnd w:id="298294574422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Beteiligungsausmaß</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Ausschlaggebend für die steuerliche und
sozialversicherungsrechtliche Einstufung des
Gesellschafter-Geschäftsführers sind</w:t>
            </w:r>
          </w:p>
          <w:p>
            <w:pPr>
              <w:numPr>
                <w:ilvl w:val="0"/>
                <w:numId w:val="8685016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Beteiligungsausmaß sowie</w:t>
            </w:r>
          </w:p>
          <w:p>
            <w:pPr>
              <w:numPr>
                <w:ilvl w:val="0"/>
                <w:numId w:val="8685016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allfällige gesellschaftsvertraglich gewährte Sonderrechte
(Sperrminorität).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wesentliche Beteiligung liegt vor, wenn eine Person am
Stammkapital der Gesellschaft mit mehr als 25 % beteiligt ist
(vgl § 22 Abs 2 EStG); dh nicht wesentlich beteiligt ist
eine Person, deren Beteiligung am Stammkapital der Gesellschaft
höchstens 25 % beträgt.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Beurteilung des Beteiligungsausmaßes steht die
Beteiligung durch Vermittlung eines Treuhänders oder einer
Gesellschaft (mittelbare Beteiligung) einer unmittelbaren
Beteiligung gleich.</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Beispiel:</w:t>
            </w:r>
          </w:p>
          <w:p>
            <w:pPr>
              <w:widowControl w:val="on"/>
              <w:pBdr/>
              <w:spacing w:before="0" w:after="0" w:line="288" w:lineRule="auto"/>
              <w:ind w:left="0" w:right="0"/>
              <w:jc w:val="left"/>
              <w:textAlignment w:val="top"/>
            </w:pPr>
            <w:r>
              <w:rPr>
                <w:rFonts w:ascii="Arial" w:hAnsi="Arial" w:eastAsia="Arial" w:cs="Arial"/>
                <w:color w:val="277DB9"/>
                <w:position w:val="0"/>
                <w:sz w:val="20"/>
                <w:szCs w:val="20"/>
              </w:rPr>
              <w:t xml:space="preserve">An der A-GmbH sind die Person X zu 25 % und die B-GmbH zu
75 % beteiligt. Die B-GmbH gehört zu 25 % X und zu
75 % Y. Unter Berücksichtigung der mittelbaren Beteiligung
über die B-GmbH ist X zu 43,75 % an der A-GmbH beteiligt.
Seine Beteiligung ist somit wesentlich.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Gesellschafter-Geschäftsführer ist keinesfalls
weisungsgebunden, wenn er zu 50 % oder mehr an der
Gesellschaft beteiligt ist. Bei einem geringeren Beteiligungsausmaß
liegt grundsätzlich Weisungsgebundenheit vor. Allerdings kann
aufgrund von gesellschaftsvertraglichen Regelungen diese
ausgeschlossen sein. So kann beispielsweise auch ein nicht
wesentlich beteiligter Gesellschafter-Geschäftsführer durch
Einräumung einer Sperrminorität weisungsfrei sein. Aufgrund der
Sperrminorität können keine Gesellschafterbeschlüsse gegen den
Willen dieses Gesellschafters gefasst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 nach konkreter Gestaltung sind folgende Konstellationen
möglich:</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Beteiligung ≤ 25 % (nicht wesentliche Beteiligung)</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Beteiligung &gt; 25 % ≤ 50 % (wesentliche
Beteiligung)</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Beteiligung &gt; 50 % (wesentliche Beteiligung)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Weisungsgebunden</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Ja (Normalfall)</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Ja (Normalfall)</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Nicht weisungsgebunden</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Ja (mit Sperrminorität)</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Ja (mit Sperrminorität)</w:t>
                  </w:r>
                </w:p>
              </w:tc>
              <w:tc>
                <w:tcPr>
                  <w:tcW w:w="0" w:type="auto"/>
                  <w:tcBorders>
                    <w:top w:val="single" w:color="000000" w:sz="2"/>
                    <w:left w:val="single" w:color="000000" w:sz="2"/>
                    <w:bottom w:val="single" w:color="000000" w:sz="2"/>
                    <w:right w:val="single" w:color="000000" w:sz="2"/>
                  </w:tcBorders>
                  <w:shd w:val="clear" w:color="auto" w:fill="FFFFFF"/>
                  <w:tcMar>
                    <w:top w:w="0" w:type="auto"/>
                    <w:left w:w="0" w:type="auto"/>
                    <w:bottom w:w="0" w:type="auto"/>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Ja (Normalfall)</w:t>
                  </w:r>
                </w:p>
              </w:tc>
            </w:tr>
          </w:tbl>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855717" w:name="note3"/>
            <w:bookmarkEnd w:id="71855717"/>
            <w:bookmarkStart w:id="6899444340733" w:name="note3"/>
            <w:r>
              <w:rPr>
                <w:rFonts w:ascii="Arial" w:hAnsi="Arial" w:eastAsia="Arial" w:cs="Arial"/>
                <w:b/>
                <w:bCs/>
                <w:color w:val="000000"/>
                <w:position w:val="0"/>
                <w:sz w:val="20"/>
                <w:szCs w:val="20"/>
              </w:rPr>
              <w:t xml:space="preserve">[3]</w:t>
            </w:r>
            <w:bookmarkEnd w:id="689944434073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2g AVRAG sieht bezüglich Pauschalentgeltvereinbarungen
vor, dass das </w:t>
            </w:r>
            <w:r>
              <w:rPr>
                <w:rFonts w:ascii="Arial" w:hAnsi="Arial" w:eastAsia="Arial" w:cs="Arial"/>
                <w:b/>
                <w:bCs/>
                <w:color w:val="000000"/>
                <w:position w:val="0"/>
                <w:sz w:val="20"/>
                <w:szCs w:val="20"/>
              </w:rPr>
              <w:t xml:space="preserve">Grundgehalt/</w:t>
            </w:r>
            <w:r>
              <w:rPr>
                <w:rFonts w:ascii="Arial" w:hAnsi="Arial" w:eastAsia="Arial" w:cs="Arial"/>
                <w:color w:val="000000"/>
                <w:position w:val="0"/>
                <w:sz w:val="20"/>
                <w:szCs w:val="20"/>
              </w:rPr>
              <w:t xml:space="preserve">der
</w:t>
            </w:r>
            <w:r>
              <w:rPr>
                <w:rFonts w:ascii="Arial" w:hAnsi="Arial" w:eastAsia="Arial" w:cs="Arial"/>
                <w:b/>
                <w:bCs/>
                <w:color w:val="000000"/>
                <w:position w:val="0"/>
                <w:sz w:val="20"/>
                <w:szCs w:val="20"/>
              </w:rPr>
              <w:t xml:space="preserve">Grundlohn</w:t>
            </w:r>
            <w:r>
              <w:rPr>
                <w:rFonts w:ascii="Arial" w:hAnsi="Arial" w:eastAsia="Arial" w:cs="Arial"/>
                <w:color w:val="000000"/>
                <w:position w:val="0"/>
                <w:sz w:val="20"/>
                <w:szCs w:val="20"/>
              </w:rPr>
              <w:t xml:space="preserve">, auf welchen der Arbeitnehmer Anspruch
hat, im Dienstzettel oder Dienstvertrag </w:t>
            </w:r>
            <w:r>
              <w:rPr>
                <w:rFonts w:ascii="Arial" w:hAnsi="Arial" w:eastAsia="Arial" w:cs="Arial"/>
                <w:b/>
                <w:bCs/>
                <w:color w:val="000000"/>
                <w:position w:val="0"/>
                <w:sz w:val="20"/>
                <w:szCs w:val="20"/>
              </w:rPr>
              <w:t xml:space="preserve">betragsmäßig
ausgewiesen</w:t>
            </w:r>
            <w:r>
              <w:rPr>
                <w:rFonts w:ascii="Arial" w:hAnsi="Arial" w:eastAsia="Arial" w:cs="Arial"/>
                <w:color w:val="000000"/>
                <w:position w:val="0"/>
                <w:sz w:val="20"/>
                <w:szCs w:val="20"/>
              </w:rPr>
              <w:t xml:space="preserve"> werden muss (vgl § 2g AVRAG).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Anderenfalls hat der Arbeitnehmer zwingend Anspruch auf
Grundgehalt oder -lohn einschließlich der branchen- und
ortsüblichen Überzahlungen, der am Arbeitsort vergleichbaren
Arbeitnehmer:innen von vergleichbaren Arbeitgeber:innen gebührt
(Ist-Grundgehalt, Ist-Grundlohn).</w:t>
            </w:r>
            <w:r>
              <w:rPr>
                <w:rFonts w:ascii="Arial" w:hAnsi="Arial" w:eastAsia="Arial" w:cs="Arial"/>
                <w:color w:val="000000"/>
                <w:position w:val="0"/>
                <w:sz w:val="20"/>
                <w:szCs w:val="20"/>
              </w:rPr>
              <w:br/>
              <w:t xml:space="preserve">Im Anstellungsvertrag sollte daher das kollektivvertragliche
Mindest-Grundgehalt angeführt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7787038" w:name="note4"/>
            <w:bookmarkEnd w:id="87787038"/>
            <w:bookmarkStart w:id="6658909873456" w:name="note4"/>
            <w:r>
              <w:rPr>
                <w:rFonts w:ascii="Arial" w:hAnsi="Arial" w:eastAsia="Arial" w:cs="Arial"/>
                <w:b/>
                <w:bCs/>
                <w:color w:val="000000"/>
                <w:position w:val="0"/>
                <w:sz w:val="20"/>
                <w:szCs w:val="20"/>
              </w:rPr>
              <w:t xml:space="preserve">[4]</w:t>
            </w:r>
            <w:bookmarkEnd w:id="665890987345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Zustimmungspflichtige Geschäfte:</w:t>
            </w:r>
            <w:r>
              <w:rPr>
                <w:rFonts w:ascii="Arial" w:hAnsi="Arial" w:eastAsia="Arial" w:cs="Arial"/>
                <w:color w:val="000000"/>
                <w:position w:val="0"/>
                <w:sz w:val="20"/>
                <w:szCs w:val="20"/>
              </w:rPr>
              <w:t xml:space="preserve"> Im
Anstellungsvertrag kann vereinbart werden, dass der Geschäftsführer
vor dem Abschluss von Rechtsgeschäften oder der Durchführung von
Maßnahmen, die nicht zum ordentlichen Geschäftsbetrieb der
Gesellschaft gehören, der Zustimmung der Generalversammlung
bedarf.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Geschäfte bzw die Handlungen, die nicht zum ordentlichen
Geschäftsbetrieb gehören, sind dann zur Klarstellung im Vertrag
ausdrücklich anzuführen.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2528209" w:name="note5"/>
            <w:bookmarkEnd w:id="22528209"/>
            <w:bookmarkStart w:id="3594435439385" w:name="note5"/>
            <w:r>
              <w:rPr>
                <w:rFonts w:ascii="Arial" w:hAnsi="Arial" w:eastAsia="Arial" w:cs="Arial"/>
                <w:b/>
                <w:bCs/>
                <w:color w:val="000000"/>
                <w:position w:val="0"/>
                <w:sz w:val="20"/>
                <w:szCs w:val="20"/>
              </w:rPr>
              <w:t xml:space="preserve">[5]</w:t>
            </w:r>
            <w:bookmarkEnd w:id="359443543938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Entgelt:</w:t>
            </w:r>
            <w:r>
              <w:rPr>
                <w:rFonts w:ascii="Arial" w:hAnsi="Arial" w:eastAsia="Arial" w:cs="Arial"/>
                <w:color w:val="000000"/>
                <w:position w:val="0"/>
                <w:sz w:val="20"/>
                <w:szCs w:val="20"/>
              </w:rPr>
              <w:t xml:space="preserve"> Eine wesentliche Bestimmung des
Geschäftsführer-Anstellungsvertrages stellt die Entgeltregelung
dar. Hierbei ist grundsätzlich zwischen dem laufenden Bezug sowie
variablen Entgeltbestandteilen, die als Erfolgsprämie bzw Tantieme
ausgestaltet sind, zu unterscheiden. Daneben sind auch Sachbezüge,
wie Dienstwagen oder Mobiltelefon, die der Geschäftsführer auch
privat nutzen kann, im Rahmen der vertraglichen Gestaltung der
Vergütungsregelung zu berücksichtigen. Die folgenden Ausführungen
beziehen sich auf einen Geschäftsführervertrag, der als echter
Arbeitsvertrag ausgestaltet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laufende Bezug stellt das feste Einkommen des
Geschäftsführers aus seiner Tätigkeit dar. Bei der
Vertragsgestaltung ist zu beachten, dass kein allgemeiner
gesetzlicher Anspruch auf Sonderzahlungen, nämlich
Weihnachtsremuneration und Urlaubszuschuss, besteht. Vielmehr ist
der für die betreffende Branche anwendbare Kollektivvertrag zu
überprüfen, ob nach diesem ein derartiger Anspruch prinzipiell
besteht und ob der Personenkreis der Geschäftsführer möglicherweise
vom Anwendungsbereich des Kollektivvertrages ausgenommen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Wurde beispielsweise für die betreffende Branche kein
Kollektivvertrag abgeschlossen oder sind Geschäftsführer vom
Anwendungsbereich des Kollektivvertrages ausgenommen, so ist
jedenfalls eine vertragliche Vereinbarung erforderlich, um einen
Anspruch auf Sonderzahlungen zu begründen.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Um allfällige Unklarheiten auszuschließen, ist jedenfalls zu
empfehlen, das Fixentgelt im Anstellungsvertrag als jährlichen
Bruttobezug zu definieren und festzulegen, dass dieser Bezug in
vierzehn gleich großen Teilbeträgen ausbezahlt wird. Weiters
sollten die Fälligkeiten dieser Teilbeträge (beispielsweise zu
Beginn oder zum Ende eines jeden Kalendermonats und zusätzlich zum
30.06. und 30.11. oder zum 01.07. und 01.12.) vertraglich
festgehalten werden, wobei freilich allenfalls anwendbare
kollektivvertragliche Regelungen zu berücksichtigen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mit der Tätigkeit eines Geschäftsführers üblicherweise die
Erbringung von Überstunden verbunden ist, sollte – aus Sicht des
Dienstgebers – im Anstellungsvertrag festgehalten werden, dass die
Erbringung dieser Leistungen im Hinblick auf die Höhe des Bezuges
bereits mit diesem abgegolten ist. Darüber hinaus sollte
klargestellt werden, dass der Geschäftsführer leitender
Angestellter im Sinne des Arbeitszeitgesetzes ist und daher die
Bestimmungen des Arbeitszeitgesetzes nicht auf ihn anzuwenden
sind.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das vertragliche Verhältnis mit dem Geschäftsführer als
echter Arbeitsvertrag zu qualifizieren ist, hat dieser im
Krankheitsfall einen Anspruch auf Entgeltfortzahlung. Liegt ein
freies Dienstverhältnis vor, sollte – aus Sicht des
Geschäftsführers – der Geschäftsführervertrag eine Regelung
dahingehend enthalten, dass die Gesellschaft bei
Dienstverhinderungen infolge Krankheit sein Entgelt für einen
bestimmten Zeitraum weiterbezahlt.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Den variablen Gehaltsbestandteilen kommt bei Geschäftsführern
eine besondere Bedeutung zu. Diesbezüglich bestehen freilich große
Gestaltungsspielräume, wobei jedenfalls zu empfehlen ist, das
maximale Ausmaß einer erfolgsabhängigen Tantieme bezogen auf das
(fixe) Jahresbruttogehalt sowie die Berechnungsgrundlagen und die
Berechnungsweise im Vertrag festzuhalten.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Üblicherweise wird auf einen Zielkatalog, der jährlich im
Vorhinein von der Gesellschaft vorgegeben bzw zwischen der
Gesellschaft und dem Geschäftsführer vereinbart wird, Bezug
genommen und – je nach dem Grad der Zielerreichung – ein bestimmter
Prozentsatz der maximalen Tantieme als erfolgsabhängiges Gehalt
ausbezahlt. Dieser Prozentsatz kann hierbei entweder relativ zur
konkreten Zielerreichung berechnet oder mit festen Sätzen definiert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Geschäftsführer-Anstellungsvertrag sollte auch eine Regelung
hinsichtlich der Fälligkeit der Tantieme (zB mit Ablauf des
Kalendermonates, in dem der Jahresabschluss durch die
Generalversammlung genehmigt wurde) und hinsichtlich der
Auswirkungen des Ausscheidens des Geschäftsführers im Hinblick auf
die variablen Gehaltsbestandteile enthalten. Üblich ist die
Regelung, dass die Tantieme in diesem Fall anteilig gebührt, sofern
die Beendigung des Vertragsverhältnisses nicht durch berechtigte
Entlassung oder ungerechtfertigten vorzeitigen Austritt erfolgt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Von den im Anstellungsvertrag vereinbarten variablen
Gehaltsbestandteilen ist schließlich die Gewährung einer so
genannten „Goodwill“-Prämie zu unterscheiden. Der Geschäftsführer
hat hierbei auf die variablen Bezüge keinen vertraglichen Anspruch
– die Prämie wird vielmehr jährlich von der Generalversammlung
festgesetzt, ohne dass hierzu eine Verpflichtung besteht.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418680" w:name="note6"/>
            <w:bookmarkEnd w:id="71418680"/>
            <w:bookmarkStart w:id="5782017354342" w:name="note6"/>
            <w:r>
              <w:rPr>
                <w:rFonts w:ascii="Arial" w:hAnsi="Arial" w:eastAsia="Arial" w:cs="Arial"/>
                <w:b/>
                <w:bCs/>
                <w:color w:val="000000"/>
                <w:position w:val="0"/>
                <w:sz w:val="20"/>
                <w:szCs w:val="20"/>
              </w:rPr>
              <w:t xml:space="preserve">[6]</w:t>
            </w:r>
            <w:bookmarkEnd w:id="578201735434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gegenständlichen Fall wird der Geschäftsführer vom
Anwendungsbereich des AZG und des ARG ausgenommen sein, da er als
leitender Angestellter iSd § 1 Abs 2 Z 8 AZG,
§ 1 Abs 2 Z 5 ARG zu betrachten ist. Er unterliegt
aber dem Geltungsbereich des Kollektivvertrages für Angestellte und
Lehrlinge in Handelsbetrieben, sodass ua die
</w:t>
            </w:r>
            <w:r>
              <w:rPr>
                <w:rFonts w:ascii="Arial" w:hAnsi="Arial" w:eastAsia="Arial" w:cs="Arial"/>
                <w:b/>
                <w:bCs/>
                <w:color w:val="000000"/>
                <w:position w:val="0"/>
                <w:sz w:val="20"/>
                <w:szCs w:val="20"/>
              </w:rPr>
              <w:t xml:space="preserve">Mindestentgeltbestimmungen</w:t>
            </w:r>
            <w:r>
              <w:rPr>
                <w:rFonts w:ascii="Arial" w:hAnsi="Arial" w:eastAsia="Arial" w:cs="Arial"/>
                <w:color w:val="000000"/>
                <w:position w:val="0"/>
                <w:sz w:val="20"/>
                <w:szCs w:val="20"/>
              </w:rPr>
              <w:t xml:space="preserve"> und die im
Kollektivvertrag enthaltenen </w:t>
            </w:r>
            <w:r>
              <w:rPr>
                <w:rFonts w:ascii="Arial" w:hAnsi="Arial" w:eastAsia="Arial" w:cs="Arial"/>
                <w:b/>
                <w:bCs/>
                <w:color w:val="000000"/>
                <w:position w:val="0"/>
                <w:sz w:val="20"/>
                <w:szCs w:val="20"/>
              </w:rPr>
              <w:t xml:space="preserve">Arbeitszeitregelungen</w:t>
            </w:r>
            <w:r>
              <w:rPr>
                <w:rFonts w:ascii="Arial" w:hAnsi="Arial" w:eastAsia="Arial" w:cs="Arial"/>
                <w:color w:val="000000"/>
                <w:position w:val="0"/>
                <w:sz w:val="20"/>
                <w:szCs w:val="20"/>
              </w:rPr>
              <w:t xml:space="preserve">
Berücksichtigung finden müssen.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Werden im Beobachtungszeitraum, welcher im Zweifel ein Jahr
beträgt, mehr Arbeitsleistungen erbracht, als von der All-In
Klausel gedeckt ist, besteht ein Nachforderungsanspruch des
Geschäftsführers auf die Entgeltdifferenz.</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Werden die Mindestentgelte durch eine All-In Vereinbarung
unterschritten, kann zudem eine verwaltungsstrafrechtlich zu
ahnende </w:t>
            </w:r>
            <w:r>
              <w:rPr>
                <w:rFonts w:ascii="Arial" w:hAnsi="Arial" w:eastAsia="Arial" w:cs="Arial"/>
                <w:b/>
                <w:bCs/>
                <w:color w:val="000000"/>
                <w:position w:val="0"/>
                <w:sz w:val="20"/>
                <w:szCs w:val="20"/>
              </w:rPr>
              <w:t xml:space="preserve">Unterentlohnung nach dem LSD-BG</w:t>
            </w:r>
            <w:r>
              <w:rPr>
                <w:rFonts w:ascii="Arial" w:hAnsi="Arial" w:eastAsia="Arial" w:cs="Arial"/>
                <w:color w:val="000000"/>
                <w:position w:val="0"/>
                <w:sz w:val="20"/>
                <w:szCs w:val="20"/>
              </w:rPr>
              <w:t xml:space="preserve">
vorliegen.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sollten daher Arbeitszeitaufzeichnungen geführt werden, damit
eine Deckungsprüfung erfolgen kann. Ohne Deckungsprüfung kann auch
ein Verfall der nicht vom All-In gedeckten Ansprüche nicht erfolgen
(OLG Wien 12.3.2004, 8 Ra 20/04a).</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6649656" w:name="note7"/>
            <w:bookmarkEnd w:id="56649656"/>
            <w:bookmarkStart w:id="7745418651456" w:name="note7"/>
            <w:r>
              <w:rPr>
                <w:rFonts w:ascii="Arial" w:hAnsi="Arial" w:eastAsia="Arial" w:cs="Arial"/>
                <w:b/>
                <w:bCs/>
                <w:color w:val="000000"/>
                <w:position w:val="0"/>
                <w:sz w:val="20"/>
                <w:szCs w:val="20"/>
              </w:rPr>
              <w:t xml:space="preserve">[7]</w:t>
            </w:r>
            <w:bookmarkEnd w:id="774541865145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Hinblick auf das </w:t>
            </w:r>
            <w:r>
              <w:rPr>
                <w:rFonts w:ascii="Arial" w:hAnsi="Arial" w:eastAsia="Arial" w:cs="Arial"/>
                <w:b/>
                <w:bCs/>
                <w:color w:val="000000"/>
                <w:position w:val="0"/>
                <w:sz w:val="20"/>
                <w:szCs w:val="20"/>
              </w:rPr>
              <w:t xml:space="preserve">Konkurrenzverbot (während des
aufrechten Dienstverhältnisses)</w:t>
            </w:r>
            <w:r>
              <w:rPr>
                <w:rFonts w:ascii="Arial" w:hAnsi="Arial" w:eastAsia="Arial" w:cs="Arial"/>
                <w:color w:val="000000"/>
                <w:position w:val="0"/>
                <w:sz w:val="20"/>
                <w:szCs w:val="20"/>
              </w:rPr>
              <w:t xml:space="preserve"> ist zu beachten, dass bei
angestellten Geschäftsführern sowohl § 24 GmbHG als auch
§ 7 AngG zur Anwendung kommt. Beide Regelungen sind
dispositiv, sodass sie vertraglich erweitert oder eingeschränkt
werden können.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9387813" w:name="note8"/>
            <w:bookmarkEnd w:id="39387813"/>
            <w:bookmarkStart w:id="45715817928" w:name="note8"/>
            <w:r>
              <w:rPr>
                <w:rFonts w:ascii="Arial" w:hAnsi="Arial" w:eastAsia="Arial" w:cs="Arial"/>
                <w:b/>
                <w:bCs/>
                <w:color w:val="000000"/>
                <w:position w:val="0"/>
                <w:sz w:val="20"/>
                <w:szCs w:val="20"/>
              </w:rPr>
              <w:t xml:space="preserve">[8]</w:t>
            </w:r>
            <w:bookmarkEnd w:id="4571581792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36 bis 38 AngG enthalten zwingende Bestimmungen
betreffend </w:t>
            </w:r>
            <w:r>
              <w:rPr>
                <w:rFonts w:ascii="Arial" w:hAnsi="Arial" w:eastAsia="Arial" w:cs="Arial"/>
                <w:b/>
                <w:bCs/>
                <w:color w:val="000000"/>
                <w:position w:val="0"/>
                <w:sz w:val="20"/>
                <w:szCs w:val="20"/>
              </w:rPr>
              <w:t xml:space="preserve">Konkurrenzklauseln, welche den Zeitraum nach
Beendigung des Dienstverhältnisses betreffen</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ist daher zu berücksichtigen, dass sich die Gesellschaft auf
die Konkurrenzklausel nur bei bestimmten Beendigungsformen wirksam
berufen kann.</w:t>
            </w:r>
            <w:r>
              <w:rPr>
                <w:rFonts w:ascii="Arial" w:hAnsi="Arial" w:eastAsia="Arial" w:cs="Arial"/>
                <w:color w:val="000000"/>
                <w:position w:val="0"/>
                <w:sz w:val="20"/>
                <w:szCs w:val="20"/>
              </w:rPr>
              <w:br/>
              <w:t xml:space="preserve">Eine Vereinbarung, durch die der angestellte Geschäftsführer für
die Zeit nach der Beendigung des Dienstverhältnisses in seiner
Erwerbstätigkeit beschränkt wird, ist überdies nur insoweit
wirksam,</w:t>
            </w:r>
          </w:p>
          <w:p>
            <w:pPr>
              <w:numPr>
                <w:ilvl w:val="0"/>
                <w:numId w:val="26471440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als der Geschäftsführer im Zeitpunkt des Abschlusses der
Vereinbarung nicht minderjährig ist,</w:t>
            </w:r>
          </w:p>
          <w:p>
            <w:pPr>
              <w:numPr>
                <w:ilvl w:val="0"/>
                <w:numId w:val="26471440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sich die Beschränkung auf die Tätigkeit des Angestellten in dem
Geschäftszweig des Dienstgebers bezieht und den Zeitraum eines
Jahres nicht übersteigt; und</w:t>
            </w:r>
          </w:p>
          <w:p>
            <w:pPr>
              <w:numPr>
                <w:ilvl w:val="0"/>
                <w:numId w:val="26471440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Beschränkung nicht nach Gegenstand, Zeit oder Ort und im
Verhältnis zu dem geschäftlichen Interesse, das der Dienstgeber an
ihrer Einhaltung hat, eine unbillige Erschwerung des Fortkommens
des Angestellten enthält.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Konkurrenzklauseln, die nach dem 16.03.2006 abgeschlossen
werden, sind überdies nur dann durchsetzbar, wenn das Gehalt des
Geschäftsführers im letzten Monat des Anstellungsverhältnisses
bestimmte Entgeltgrenzen überschreitet.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8595178" w:name="note9"/>
            <w:bookmarkEnd w:id="48595178"/>
            <w:bookmarkStart w:id="7463051086858" w:name="note9"/>
            <w:r>
              <w:rPr>
                <w:rFonts w:ascii="Arial" w:hAnsi="Arial" w:eastAsia="Arial" w:cs="Arial"/>
                <w:b/>
                <w:bCs/>
                <w:color w:val="000000"/>
                <w:position w:val="0"/>
                <w:sz w:val="20"/>
                <w:szCs w:val="20"/>
              </w:rPr>
              <w:t xml:space="preserve">[9]</w:t>
            </w:r>
            <w:bookmarkEnd w:id="746305108685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konkreten Fall wurde eine </w:t>
            </w:r>
            <w:r>
              <w:rPr>
                <w:rFonts w:ascii="Arial" w:hAnsi="Arial" w:eastAsia="Arial" w:cs="Arial"/>
                <w:b/>
                <w:bCs/>
                <w:color w:val="000000"/>
                <w:position w:val="0"/>
                <w:sz w:val="20"/>
                <w:szCs w:val="20"/>
              </w:rPr>
              <w:t xml:space="preserve">Konventionalstrafe</w:t>
            </w:r>
            <w:r>
              <w:rPr>
                <w:rFonts w:ascii="Arial" w:hAnsi="Arial" w:eastAsia="Arial" w:cs="Arial"/>
                <w:color w:val="000000"/>
                <w:position w:val="0"/>
                <w:sz w:val="20"/>
                <w:szCs w:val="20"/>
              </w:rPr>
              <w:t xml:space="preserve">
bei Verletzung der Konkurrenzklausel vorgesehen. Diese unterliegt
dem richterlichen Mäßigungsrecht. Sie darf eine gewisse Höhe nicht
überschreiten, um rechtswirksam zu sein (vgl § 37 Abs 3
AngG). Die Konventionalstrafe schließt überdies die Geltendmachung
einer Unterlassung oder eines über die Konventionalstrafe
hinausgehenden Schadenersatzes aus (§ 37 Abs 3 AngG).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3622985" w:name="note10"/>
            <w:bookmarkEnd w:id="93622985"/>
            <w:bookmarkStart w:id="6141429982848" w:name="note10"/>
            <w:r>
              <w:rPr>
                <w:rFonts w:ascii="Arial" w:hAnsi="Arial" w:eastAsia="Arial" w:cs="Arial"/>
                <w:b/>
                <w:bCs/>
                <w:color w:val="000000"/>
                <w:position w:val="0"/>
                <w:sz w:val="20"/>
                <w:szCs w:val="20"/>
              </w:rPr>
              <w:t xml:space="preserve">[10]</w:t>
            </w:r>
            <w:bookmarkEnd w:id="61414299828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 nach den Umständen des Einzelfalles kann es sinnvoll sein, in
den Anstellungsvertrag weitere oder alternative Regelungen
aufzunehmen. Das Vertragsmuster kann eine individuelle
Rechtsberatung nicht ersetzen.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471440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85016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4202875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7215366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4485791">
    <w:multiLevelType w:val="hybridMultilevel"/>
    <w:lvl w:ilvl="0" w:tplc="92670903">
      <w:start w:val="1"/>
      <w:numFmt w:val="decimal"/>
      <w:lvlText w:val="%1."/>
      <w:lvlJc w:val="left"/>
      <w:pPr>
        <w:ind w:left="720" w:hanging="360"/>
      </w:pPr>
    </w:lvl>
    <w:lvl w:ilvl="1" w:tplc="92670903" w:tentative="1">
      <w:start w:val="1"/>
      <w:numFmt w:val="lowerLetter"/>
      <w:lvlText w:val="%2."/>
      <w:lvlJc w:val="left"/>
      <w:pPr>
        <w:ind w:left="1440" w:hanging="360"/>
      </w:pPr>
    </w:lvl>
    <w:lvl w:ilvl="2" w:tplc="92670903" w:tentative="1">
      <w:start w:val="1"/>
      <w:numFmt w:val="lowerRoman"/>
      <w:lvlText w:val="%3."/>
      <w:lvlJc w:val="right"/>
      <w:pPr>
        <w:ind w:left="2160" w:hanging="180"/>
      </w:pPr>
    </w:lvl>
    <w:lvl w:ilvl="3" w:tplc="92670903" w:tentative="1">
      <w:start w:val="1"/>
      <w:numFmt w:val="decimal"/>
      <w:lvlText w:val="%4."/>
      <w:lvlJc w:val="left"/>
      <w:pPr>
        <w:ind w:left="2880" w:hanging="360"/>
      </w:pPr>
    </w:lvl>
    <w:lvl w:ilvl="4" w:tplc="92670903" w:tentative="1">
      <w:start w:val="1"/>
      <w:numFmt w:val="lowerLetter"/>
      <w:lvlText w:val="%5."/>
      <w:lvlJc w:val="left"/>
      <w:pPr>
        <w:ind w:left="3600" w:hanging="360"/>
      </w:pPr>
    </w:lvl>
    <w:lvl w:ilvl="5" w:tplc="92670903" w:tentative="1">
      <w:start w:val="1"/>
      <w:numFmt w:val="lowerRoman"/>
      <w:lvlText w:val="%6."/>
      <w:lvlJc w:val="right"/>
      <w:pPr>
        <w:ind w:left="4320" w:hanging="180"/>
      </w:pPr>
    </w:lvl>
    <w:lvl w:ilvl="6" w:tplc="92670903" w:tentative="1">
      <w:start w:val="1"/>
      <w:numFmt w:val="decimal"/>
      <w:lvlText w:val="%7."/>
      <w:lvlJc w:val="left"/>
      <w:pPr>
        <w:ind w:left="5040" w:hanging="360"/>
      </w:pPr>
    </w:lvl>
    <w:lvl w:ilvl="7" w:tplc="92670903" w:tentative="1">
      <w:start w:val="1"/>
      <w:numFmt w:val="lowerLetter"/>
      <w:lvlText w:val="%8."/>
      <w:lvlJc w:val="left"/>
      <w:pPr>
        <w:ind w:left="5760" w:hanging="360"/>
      </w:pPr>
    </w:lvl>
    <w:lvl w:ilvl="8" w:tplc="92670903" w:tentative="1">
      <w:start w:val="1"/>
      <w:numFmt w:val="lowerRoman"/>
      <w:lvlText w:val="%9."/>
      <w:lvlJc w:val="right"/>
      <w:pPr>
        <w:ind w:left="6480" w:hanging="180"/>
      </w:pPr>
    </w:lvl>
  </w:abstractNum>
  <w:abstractNum w:abstractNumId="74485790">
    <w:multiLevelType w:val="hybridMultilevel"/>
    <w:lvl w:ilvl="0" w:tplc="390206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485790">
    <w:abstractNumId w:val="74485790"/>
  </w:num>
  <w:num w:numId="74485791">
    <w:abstractNumId w:val="74485791"/>
  </w:num>
  <w:num w:numId="672153666">
    <w:abstractNumId w:val="672153666"/>
  </w:num>
  <w:num w:numId="142028752">
    <w:abstractNumId w:val="142028752"/>
  </w:num>
  <w:num w:numId="86850160">
    <w:abstractNumId w:val="86850160"/>
  </w:num>
  <w:num w:numId="264714403">
    <w:abstractNumId w:val="2647144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41189469" Type="http://schemas.openxmlformats.org/officeDocument/2006/relationships/numbering" Target="numbering.xml"/><Relationship Id="rId41772299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