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67385876" w:name="document"/>
    <w:bookmarkEnd w:id="67385876"/>
    <w:p/>
    <w:p>
      <w:pPr>
        <w:widowControl w:val="on"/>
        <w:pBdr/>
        <w:spacing w:before="0" w:after="280" w:line="240" w:lineRule="auto"/>
        <w:ind w:left="0" w:right="0"/>
        <w:jc w:val="left"/>
      </w:pPr>
      <w:r>
        <w:rPr>
          <w:rFonts w:ascii="Arial" w:hAnsi="Arial" w:eastAsia="Arial" w:cs="Arial"/>
          <w:color w:val="363A40"/>
          <w:sz w:val="24"/>
          <w:szCs w:val="24"/>
        </w:rPr>
        <w:t xml:space="preserve">Dokument-ID: 763578 | FORUM Media (red) |
Muster | Korrespondenz</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Probezeit – Auflösung des Arbeitsverhältnisses</w:t>
      </w:r>
    </w:p>
    <w:p>
      <w:pPr>
        <w:widowControl w:val="on"/>
        <w:pBdr/>
        <w:spacing w:before="140" w:after="240" w:line="288" w:lineRule="auto"/>
        <w:ind w:left="0" w:right="0"/>
        <w:jc w:val="left"/>
      </w:pPr>
      <w:r>
        <w:rPr>
          <w:rFonts w:ascii="Arial" w:hAnsi="Arial" w:eastAsia="Arial" w:cs="Arial"/>
          <w:color w:val="000000"/>
          <w:sz w:val="20"/>
          <w:szCs w:val="20"/>
        </w:rPr>
        <w:t xml:space="preserve">… [Name des Arbeitgebers]</w:t>
      </w:r>
      <w:r>
        <w:rPr>
          <w:rFonts w:ascii="Arial" w:hAnsi="Arial" w:eastAsia="Arial" w:cs="Arial"/>
          <w:color w:val="000000"/>
          <w:sz w:val="20"/>
          <w:szCs w:val="20"/>
        </w:rPr>
        <w:br/>
        <w:t xml:space="preserve">… [Adresse]</w:t>
      </w:r>
    </w:p>
    <w:p>
      <w:pPr>
        <w:widowControl w:val="on"/>
        <w:pBdr/>
        <w:spacing w:before="140" w:after="240" w:line="288" w:lineRule="auto"/>
        <w:ind w:left="0" w:right="0"/>
        <w:jc w:val="left"/>
      </w:pPr>
      <w:r>
        <w:rPr>
          <w:rFonts w:ascii="Arial" w:hAnsi="Arial" w:eastAsia="Arial" w:cs="Arial"/>
          <w:color w:val="000000"/>
          <w:sz w:val="20"/>
          <w:szCs w:val="20"/>
        </w:rPr>
        <w:t xml:space="preserve">… [Name des Arbeitnehmers]</w:t>
      </w:r>
      <w:r>
        <w:rPr>
          <w:rFonts w:ascii="Arial" w:hAnsi="Arial" w:eastAsia="Arial" w:cs="Arial"/>
          <w:color w:val="000000"/>
          <w:sz w:val="20"/>
          <w:szCs w:val="20"/>
        </w:rPr>
        <w:br/>
        <w:t xml:space="preserve">… [Adresse]</w:t>
      </w:r>
    </w:p>
    <w:p>
      <w:pPr>
        <w:widowControl w:val="on"/>
        <w:pBdr/>
        <w:spacing w:before="140" w:after="240" w:line="288" w:lineRule="auto"/>
        <w:ind w:left="0" w:right="0"/>
        <w:jc w:val="right"/>
      </w:pPr>
      <w:r>
        <w:rPr>
          <w:rFonts w:ascii="Arial" w:hAnsi="Arial" w:eastAsia="Arial" w:cs="Arial"/>
          <w:color w:val="000000"/>
          <w:sz w:val="20"/>
          <w:szCs w:val="20"/>
        </w:rPr>
        <w:t xml:space="preserve">…, am …</w:t>
      </w:r>
    </w:p>
    <w:p>
      <w:pPr>
        <w:widowControl w:val="on"/>
        <w:pBdr/>
        <w:spacing w:before="140" w:after="240" w:line="288" w:lineRule="auto"/>
        <w:ind w:left="0" w:right="0"/>
        <w:jc w:val="left"/>
      </w:pPr>
      <w:r>
        <w:rPr>
          <w:rFonts w:ascii="Arial" w:hAnsi="Arial" w:eastAsia="Arial" w:cs="Arial"/>
          <w:b/>
          <w:bCs/>
          <w:color w:val="000000"/>
          <w:sz w:val="20"/>
          <w:szCs w:val="20"/>
        </w:rPr>
        <w:t xml:space="preserve">Betrifft: Auflösung des Dienstverhältnisses innerhalb
der Probezeit</w:t>
      </w:r>
    </w:p>
    <w:p>
      <w:pPr>
        <w:widowControl w:val="on"/>
        <w:pBdr/>
        <w:spacing w:before="140" w:after="240" w:line="288" w:lineRule="auto"/>
        <w:ind w:left="0" w:right="0"/>
        <w:jc w:val="left"/>
      </w:pPr>
      <w:r>
        <w:rPr>
          <w:rFonts w:ascii="Arial" w:hAnsi="Arial" w:eastAsia="Arial" w:cs="Arial"/>
          <w:color w:val="000000"/>
          <w:sz w:val="20"/>
          <w:szCs w:val="20"/>
        </w:rPr>
        <w:t xml:space="preserve">Sehr geehrter … [Name des Arbeitnehmers],</w:t>
      </w:r>
    </w:p>
    <w:p>
      <w:pPr>
        <w:widowControl w:val="on"/>
        <w:pBdr/>
        <w:spacing w:before="140" w:after="240" w:line="288" w:lineRule="auto"/>
        <w:ind w:left="0" w:right="0"/>
        <w:jc w:val="left"/>
      </w:pPr>
      <w:r>
        <w:rPr>
          <w:rFonts w:ascii="Arial" w:hAnsi="Arial" w:eastAsia="Arial" w:cs="Arial"/>
          <w:color w:val="000000"/>
          <w:sz w:val="20"/>
          <w:szCs w:val="20"/>
        </w:rPr>
        <w:t xml:space="preserve">wir teilen Ihnen mit, dass wir das mit Ihnen abgeschlossene
Dienstverhältnis hiermit innerhalb der Probezeit auflösen.</w:t>
      </w:r>
    </w:p>
    <w:p>
      <w:pPr>
        <w:widowControl w:val="on"/>
        <w:pBdr/>
        <w:spacing w:before="140" w:after="240" w:line="288" w:lineRule="auto"/>
        <w:ind w:left="0" w:right="0"/>
        <w:jc w:val="left"/>
      </w:pPr>
      <w:r>
        <w:rPr>
          <w:rFonts w:ascii="Arial" w:hAnsi="Arial" w:eastAsia="Arial" w:cs="Arial"/>
          <w:color w:val="000000"/>
          <w:sz w:val="20"/>
          <w:szCs w:val="20"/>
        </w:rPr>
        <w:t xml:space="preserve">Mit freundlichen Grüßen</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[Unterschrift Arbeitgeber]</w:t>
      </w:r>
    </w:p>
    <w:p>
      <w:pPr>
        <w:widowControl w:val="on"/>
        <w:pBdr/>
        <w:spacing w:before="240" w:after="60" w:line="346" w:lineRule="auto"/>
        <w:ind w:left="0" w:right="0"/>
        <w:jc w:val="left"/>
        <w:outlineLvl w:val="1"/>
      </w:pPr>
      <w:r>
        <w:rPr>
          <w:rFonts w:ascii="Arial" w:hAnsi="Arial" w:eastAsia="Arial" w:cs="Arial"/>
          <w:b/>
          <w:bCs/>
          <w:color w:val="363A40"/>
          <w:sz w:val="28"/>
          <w:szCs w:val="28"/>
        </w:rPr>
        <w:t xml:space="preserve">Anmerkungen:</w:t>
      </w:r>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24773767" w:name="note1"/>
            <w:bookmarkEnd w:id="24773767"/>
            <w:bookmarkStart w:id="248237608119" w:name="note1"/>
            <w:r>
              <w:rPr>
                <w:rFonts w:ascii="Arial" w:hAnsi="Arial" w:eastAsia="Arial" w:cs="Arial"/>
                <w:b/>
                <w:bCs/>
                <w:color w:val="000000"/>
                <w:position w:val="0"/>
                <w:sz w:val="20"/>
                <w:szCs w:val="20"/>
              </w:rPr>
              <w:t xml:space="preserve">[1]</w:t>
            </w:r>
            <w:bookmarkEnd w:id="248237608119"/>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Während der Probezeit kann sowohl der Arbeitgeber als auch der
Arbeitnehmer das Vertragsverhältnis jederzeit ohne Angaben von
Gründen und ohne Einhaltung einer Frist oder eines Termins beenden.
Die Auflösungserklärung des Arbeitsverhältnisses im Probemonat ist
eine einseitige, empfangsbedürftige Willenserklärung, die vor Ende
der Probezeit dem anderen Vertragspartner zugehen muss. Bei einer
verspäteten zeitwidrigen Beendigung – sohin außerhalb der Probezeit
– wird das Arbeitsverhältnis ebenso aufgelöst, führt jedoch zu
Schadenersatzansprüchen gem §§ 28 f AngG und §§ 1162a f
ABGB.</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Eine Probezeit gilt nicht automatisch bei Beginn eines
Dienstverhältnisses, sondern muss vertraglich vereinbart werden.
Dauer und Bedingungen einer vereinbarten Probezeit sind seit
28.03.2024 im Dienstzettel anzugeben. Bei einer
kollektivvertraglichen Regelung der Probezeit muss auf den
jeweiligen Kollektivvertrag verwiesen werden (vgl § 2
Abs 2 Z 14, § 2 Abs 5 AVRAG).</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7883583" w:name="note2"/>
            <w:bookmarkEnd w:id="7883583"/>
            <w:bookmarkStart w:id="9898708643800" w:name="note2"/>
            <w:r>
              <w:rPr>
                <w:rFonts w:ascii="Arial" w:hAnsi="Arial" w:eastAsia="Arial" w:cs="Arial"/>
                <w:b/>
                <w:bCs/>
                <w:color w:val="000000"/>
                <w:position w:val="0"/>
                <w:sz w:val="20"/>
                <w:szCs w:val="20"/>
              </w:rPr>
              <w:t xml:space="preserve">[2]</w:t>
            </w:r>
            <w:bookmarkEnd w:id="9898708643800"/>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Bei Beendigung eines Arbeitsverhältnisses während der Probezeit
muss die Auflösungserklärung dem Vertragspartner zugehen. Die bloße
Abmeldung von der zuständigen Gebietskrankenkasse kann ein
Arbeitsverhältnis nicht beenden.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Für die Auflösung des Arbeitsverhältnisses während der Probezeit
gelten keine Formvorschriften, aus Beweisgründen ist allerdings
eine schriftliche Auflösungserklärung zu empfehlen. Bei Lehrlingen
ist die Schriftlichkeit der Auflösungserklärung Voraussetzung für
deren Rechtswirksamkeit. Wird das Lehrverhältnis vom minderjährigen
Lehrling aufgelöst ist zusätzlich die Zustimmung des gesetzlichen
Vertreters erforderlich. Die Auflösungserklärung muss dem
Vertragspartner spätestens am letzten Tag der Probezeit zugehen.
Mündliche oder persönlich überreichte Auflösungserklärungen gehen
sofort zu und entfalten daher sofort ihre Wirkung.</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Dem Arbeitnehmer stehen folgende Ansprüche zu:</w:t>
            </w:r>
          </w:p>
          <w:p>
            <w:pPr>
              <w:numPr>
                <w:ilvl w:val="0"/>
                <w:numId w:val="220785618"/>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laufendes Entgelt bis zum letzten Tag;</w:t>
            </w:r>
          </w:p>
          <w:p>
            <w:pPr>
              <w:numPr>
                <w:ilvl w:val="0"/>
                <w:numId w:val="220785618"/>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Sonderzahlungen laut Kollektiv- oder Einzelvertrag;</w:t>
            </w:r>
          </w:p>
          <w:p>
            <w:pPr>
              <w:numPr>
                <w:ilvl w:val="0"/>
                <w:numId w:val="220785618"/>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Urlaubsabfindung für offenen (aliquoten) Urlaubsanspruch.</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Mit Beendigung sind der letzte Tag des Arbeitsverhältnisses,
sowie allfällige Ansprüche des Vertragspartners festzustellen und
es hat die Abmeldung bei der Gebietskrankenkasse zu erfolgen.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Sieht ein Kollektivvertrag keine oder nur eine kürzere Probezeit
als ein Monat vor, so liegt zwar von Beginn an oder nach diesem
kürzeren Zeitraum bereits ein normales Dienstverhältnis vor.</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Es ist jedoch davon auszugehen, dass der Gesetzgeber durch die
Wortwahl „Probemonat“ die Auflösung von Arbeitsverhältnissen
während des ersten Monats jedenfalls nicht der Auflösungsabgabe
unterwerfen wollte und daher innerhalb dieses Zeitraums eine
Differenzierung nach Status der Arbeitskraft und anwendbarem
Kollektivvertrag unterbleiben soll.</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65600782" w:name="note3"/>
            <w:bookmarkEnd w:id="65600782"/>
            <w:bookmarkStart w:id="5267777006581" w:name="note3"/>
            <w:r>
              <w:rPr>
                <w:rFonts w:ascii="Arial" w:hAnsi="Arial" w:eastAsia="Arial" w:cs="Arial"/>
                <w:b/>
                <w:bCs/>
                <w:color w:val="000000"/>
                <w:position w:val="0"/>
                <w:sz w:val="20"/>
                <w:szCs w:val="20"/>
              </w:rPr>
              <w:t xml:space="preserve">[3]</w:t>
            </w:r>
            <w:bookmarkEnd w:id="5267777006581"/>
          </w:p>
        </w:tc>
        <w:tc>
          <w:tcPr>
            <w:tcW w:w="4670" w:type="pct"/>
            <w:tcMar>
              <w:top w:w="156" w:type="dxa"/>
              <w:left w:w="0" w:type="auto"/>
              <w:bottom w:w="78" w:type="dxa"/>
              <w:right w:w="0" w:type="auto"/>
            </w:tcMar>
            <w:vAlign w:val="top"/>
          </w:tcPr>
          <w:p>
            <w:pPr>
              <w:widowControl w:val="on"/>
              <w:pBdr/>
              <w:spacing w:before="0" w:after="0" w:line="300" w:lineRule="auto"/>
              <w:ind w:left="0" w:right="0"/>
              <w:jc w:val="left"/>
              <w:textAlignment w:val="top"/>
              <w:outlineLvl w:val="2"/>
            </w:pPr>
            <w:r>
              <w:rPr>
                <w:rFonts w:ascii="Arial" w:hAnsi="Arial" w:eastAsia="Arial" w:cs="Arial"/>
                <w:b/>
                <w:bCs/>
                <w:color w:val="363A40"/>
                <w:position w:val="0"/>
                <w:sz w:val="22"/>
                <w:szCs w:val="22"/>
              </w:rPr>
              <w:t xml:space="preserve">Schwangerschaft</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 Auflösung des Probedienstverhältnisses wegen einer
Schwangerschaft ist unzulässig. Der besondere Kündigungs- und
Entlassungsschutz des MSchG greift zwar nicht, jedoch ist die
Auflösung wegen Diskriminierung aufgrund des Geschlechts anfechtbar
(OGH 31.8.2005, 9 ObA 4/05m). Dies ist aber nur dann möglich, wenn
die Arbeitnehmerin glaubhaft machen kann, dass die Schwangerschaft
der Anlass für die Auflösung war. Es liegt jedoch keine
Diskriminierung vor, wenn das Probearbeitsverhältnis aufgrund einer
schwacher Arbeitsleistung der Arbeitnehmerin erfolgte (OLG Wien
19.12.2014, 7 Ra 119/14t).</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72571551" w:name="note4"/>
            <w:bookmarkEnd w:id="72571551"/>
            <w:bookmarkStart w:id="8383771341993" w:name="note4"/>
            <w:r>
              <w:rPr>
                <w:rFonts w:ascii="Arial" w:hAnsi="Arial" w:eastAsia="Arial" w:cs="Arial"/>
                <w:b/>
                <w:bCs/>
                <w:color w:val="000000"/>
                <w:position w:val="0"/>
                <w:sz w:val="20"/>
                <w:szCs w:val="20"/>
              </w:rPr>
              <w:t xml:space="preserve">[4]</w:t>
            </w:r>
            <w:bookmarkEnd w:id="8383771341993"/>
          </w:p>
        </w:tc>
        <w:tc>
          <w:tcPr>
            <w:tcW w:w="4670" w:type="pct"/>
            <w:tcMar>
              <w:top w:w="156" w:type="dxa"/>
              <w:left w:w="0" w:type="auto"/>
              <w:bottom w:w="78" w:type="dxa"/>
              <w:right w:w="0" w:type="auto"/>
            </w:tcMar>
            <w:vAlign w:val="top"/>
          </w:tcPr>
          <w:p>
            <w:pPr>
              <w:widowControl w:val="on"/>
              <w:pBdr/>
              <w:spacing w:before="0" w:after="0" w:line="300" w:lineRule="auto"/>
              <w:ind w:left="0" w:right="0"/>
              <w:jc w:val="left"/>
              <w:textAlignment w:val="top"/>
              <w:outlineLvl w:val="2"/>
            </w:pPr>
            <w:r>
              <w:rPr>
                <w:rFonts w:ascii="Arial" w:hAnsi="Arial" w:eastAsia="Arial" w:cs="Arial"/>
                <w:b/>
                <w:bCs/>
                <w:color w:val="363A40"/>
                <w:position w:val="0"/>
                <w:sz w:val="22"/>
                <w:szCs w:val="22"/>
              </w:rPr>
              <w:t xml:space="preserve">Krankheit</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 Auflösung des Probedienstverhältnisses ist auch während
einer krankheitsbedingten Arbeitsverhinderung des Arbeitnehmers
möglich, ohne dass ein Anspruch nach § 5 EFZG entsteht.</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Eine Krankheit alleine erfüllt keinen
Diskriminierungstatbestand. Eine schwere Krankheit kann eine
Behinderung begründen, wenn sie von langer Dauer ist und zu einer
gravierenden beruflichen Einschränkung führt. Beruft sich zB ein
Arbeitnehmer auf eine Behinderung, muss nach den besonderen
Vorgaben des Behinderteneinstellungsgesetzes ein
Schlichtungsverfahren durchgeführt werden. Behauptet ein
Arbeitnehmer, dass das Arbeitsverhältnis während der Probezeit
aufgrund einer psychischen Krankheit aufgelöst wurde, so trifft die
Beweislast bei einer Anfechtung wegen Diskriminierung den
Arbeitnehmer (OGH 29.09.2015, 8 ObA 62/15y).</w:t>
            </w:r>
          </w:p>
        </w:tc>
      </w:tr>
    </w:tbl>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20785618">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211555588">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27332308">
    <w:multiLevelType w:val="hybridMultilevel"/>
    <w:lvl w:ilvl="0" w:tplc="25447792">
      <w:start w:val="1"/>
      <w:numFmt w:val="decimal"/>
      <w:lvlText w:val="%1."/>
      <w:lvlJc w:val="left"/>
      <w:pPr>
        <w:ind w:left="720" w:hanging="360"/>
      </w:pPr>
    </w:lvl>
    <w:lvl w:ilvl="1" w:tplc="25447792" w:tentative="1">
      <w:start w:val="1"/>
      <w:numFmt w:val="lowerLetter"/>
      <w:lvlText w:val="%2."/>
      <w:lvlJc w:val="left"/>
      <w:pPr>
        <w:ind w:left="1440" w:hanging="360"/>
      </w:pPr>
    </w:lvl>
    <w:lvl w:ilvl="2" w:tplc="25447792" w:tentative="1">
      <w:start w:val="1"/>
      <w:numFmt w:val="lowerRoman"/>
      <w:lvlText w:val="%3."/>
      <w:lvlJc w:val="right"/>
      <w:pPr>
        <w:ind w:left="2160" w:hanging="180"/>
      </w:pPr>
    </w:lvl>
    <w:lvl w:ilvl="3" w:tplc="25447792" w:tentative="1">
      <w:start w:val="1"/>
      <w:numFmt w:val="decimal"/>
      <w:lvlText w:val="%4."/>
      <w:lvlJc w:val="left"/>
      <w:pPr>
        <w:ind w:left="2880" w:hanging="360"/>
      </w:pPr>
    </w:lvl>
    <w:lvl w:ilvl="4" w:tplc="25447792" w:tentative="1">
      <w:start w:val="1"/>
      <w:numFmt w:val="lowerLetter"/>
      <w:lvlText w:val="%5."/>
      <w:lvlJc w:val="left"/>
      <w:pPr>
        <w:ind w:left="3600" w:hanging="360"/>
      </w:pPr>
    </w:lvl>
    <w:lvl w:ilvl="5" w:tplc="25447792" w:tentative="1">
      <w:start w:val="1"/>
      <w:numFmt w:val="lowerRoman"/>
      <w:lvlText w:val="%6."/>
      <w:lvlJc w:val="right"/>
      <w:pPr>
        <w:ind w:left="4320" w:hanging="180"/>
      </w:pPr>
    </w:lvl>
    <w:lvl w:ilvl="6" w:tplc="25447792" w:tentative="1">
      <w:start w:val="1"/>
      <w:numFmt w:val="decimal"/>
      <w:lvlText w:val="%7."/>
      <w:lvlJc w:val="left"/>
      <w:pPr>
        <w:ind w:left="5040" w:hanging="360"/>
      </w:pPr>
    </w:lvl>
    <w:lvl w:ilvl="7" w:tplc="25447792" w:tentative="1">
      <w:start w:val="1"/>
      <w:numFmt w:val="lowerLetter"/>
      <w:lvlText w:val="%8."/>
      <w:lvlJc w:val="left"/>
      <w:pPr>
        <w:ind w:left="5760" w:hanging="360"/>
      </w:pPr>
    </w:lvl>
    <w:lvl w:ilvl="8" w:tplc="25447792" w:tentative="1">
      <w:start w:val="1"/>
      <w:numFmt w:val="lowerRoman"/>
      <w:lvlText w:val="%9."/>
      <w:lvlJc w:val="right"/>
      <w:pPr>
        <w:ind w:left="6480" w:hanging="180"/>
      </w:pPr>
    </w:lvl>
  </w:abstractNum>
  <w:abstractNum w:abstractNumId="27332307">
    <w:multiLevelType w:val="hybridMultilevel"/>
    <w:lvl w:ilvl="0" w:tplc="6092525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7332307">
    <w:abstractNumId w:val="27332307"/>
  </w:num>
  <w:num w:numId="27332308">
    <w:abstractNumId w:val="27332308"/>
  </w:num>
  <w:num w:numId="211555588">
    <w:abstractNumId w:val="211555588"/>
  </w:num>
  <w:num w:numId="220785618">
    <w:abstractNumId w:val="2207856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858323878" Type="http://schemas.openxmlformats.org/officeDocument/2006/relationships/numbering" Target="numbering.xml"/><Relationship Id="rId162621257"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