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2990412" w:name="document"/>
    <w:bookmarkEnd w:id="22990412"/>
    <w:p/>
    <w:p>
      <w:pPr>
        <w:widowControl w:val="on"/>
        <w:pBdr/>
        <w:spacing w:before="0" w:after="280" w:line="240" w:lineRule="auto"/>
        <w:ind w:left="0" w:right="0"/>
        <w:jc w:val="left"/>
      </w:pPr>
      <w:r>
        <w:rPr>
          <w:rFonts w:ascii="Arial" w:hAnsi="Arial" w:eastAsia="Arial" w:cs="Arial"/>
          <w:color w:val="363A40"/>
          <w:sz w:val="24"/>
          <w:szCs w:val="24"/>
        </w:rPr>
        <w:t xml:space="preserve">Dokument-ID: 822214 | Johanna Gaiswinkler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gem § 6 AWG 2002 – Feststellungsantrag</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Landeshauptmann </w:t>
      </w:r>
      <w:r>
        <w:rPr>
          <w:rFonts w:ascii="Arial" w:hAnsi="Arial" w:eastAsia="Arial" w:cs="Arial"/>
          <w:color w:val="000000"/>
          <w:sz w:val="20"/>
          <w:szCs w:val="20"/>
        </w:rPr>
        <w:t xml:space="preserve">…</w:t>
      </w:r>
      <w:bookmarkStart w:id="22445640" w:name="link1"/>
      <w:bookmarkEnd w:id="22445640"/>
      <w:hyperlink w:anchor="note1" w:history="1">
        <w:r>
          <w:rPr>
            <w:rFonts w:ascii="Arial" w:hAnsi="Arial" w:eastAsia="Arial" w:cs="Arial"/>
            <w:b/>
            <w:bCs/>
            <w:color w:val="006BB6"/>
            <w:position w:val="4"/>
            <w:sz w:val="22"/>
            <w:szCs w:val="22"/>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bookmarkStart w:id="50060253" w:name="link2"/>
            <w:bookmarkEnd w:id="50060253"/>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Feststellung gem § 6
Abs 1 Z 2 AWG </w:t>
      </w:r>
      <w:r>
        <w:rPr>
          <w:rFonts w:ascii="Arial" w:hAnsi="Arial" w:eastAsia="Arial" w:cs="Arial"/>
          <w:b/>
          <w:bCs/>
          <w:color w:val="363A40"/>
          <w:sz w:val="28"/>
          <w:szCs w:val="28"/>
        </w:rPr>
        <w:t xml:space="preserve">2002</w:t>
      </w:r>
      <w:bookmarkStart w:id="71668596" w:name="link3"/>
      <w:bookmarkEnd w:id="71668596"/>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right"/>
      </w:pPr>
      <w:r>
        <w:rPr>
          <w:rFonts w:ascii="Arial" w:hAnsi="Arial" w:eastAsia="Arial" w:cs="Arial"/>
          <w:color w:val="000000"/>
          <w:sz w:val="20"/>
          <w:szCs w:val="20"/>
        </w:rPr>
        <w:t xml:space="preserve">Beilagen </w:t>
      </w:r>
      <w:r>
        <w:rPr>
          <w:rFonts w:ascii="Arial" w:hAnsi="Arial" w:eastAsia="Arial" w:cs="Arial"/>
          <w:color w:val="000000"/>
          <w:sz w:val="20"/>
          <w:szCs w:val="20"/>
        </w:rPr>
        <w:t xml:space="preserve">x-fach</w:t>
      </w:r>
      <w:bookmarkStart w:id="42424869" w:name="link4"/>
      <w:bookmarkEnd w:id="42424869"/>
      <w:hyperlink w:anchor="note4" w:history="1">
        <w:r>
          <w:rPr>
            <w:rFonts w:ascii="Arial" w:hAnsi="Arial" w:eastAsia="Arial" w:cs="Arial"/>
            <w:b/>
            <w:bCs/>
            <w:color w:val="006BB6"/>
            <w:position w:val="4"/>
            <w:sz w:val="22"/>
            <w:szCs w:val="22"/>
            <w:vertAlign w:val="superscript"/>
          </w:rPr>
          <w:t xml:space="preserve">4</w:t>
        </w:r>
      </w:hyperlink>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erlaubt sich die
Antragstellerin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Feststellung gem § 6
Abs 1 Z 2 AWG 2002</w:t>
      </w:r>
    </w:p>
    <w:p>
      <w:pPr>
        <w:widowControl w:val="on"/>
        <w:pBdr/>
        <w:spacing w:before="140" w:after="240" w:line="288" w:lineRule="auto"/>
        <w:ind w:left="0" w:right="0"/>
        <w:jc w:val="left"/>
      </w:pPr>
      <w:r>
        <w:rPr>
          <w:rFonts w:ascii="Arial" w:hAnsi="Arial" w:eastAsia="Arial" w:cs="Arial"/>
          <w:color w:val="000000"/>
          <w:sz w:val="20"/>
          <w:szCs w:val="20"/>
        </w:rPr>
        <w:t xml:space="preserve">einzubringen und führt dazu aus 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w:t>
      </w:r>
      <w:r>
        <w:rPr>
          <w:rFonts w:ascii="Arial" w:hAnsi="Arial" w:eastAsia="Arial" w:cs="Arial"/>
          <w:b/>
          <w:bCs/>
          <w:color w:val="363A40"/>
          <w:sz w:val="28"/>
          <w:szCs w:val="28"/>
        </w:rPr>
        <w:t xml:space="preserve">Ausgangslage</w:t>
      </w:r>
      <w:bookmarkStart w:id="95090837" w:name="link5"/>
      <w:bookmarkEnd w:id="95090837"/>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betreibt ein Abbruchunternehmen. Im Rahmen
eines bestehenden Auftrages kommt es zum Abriss eines ehemaligen
Möbelhauses mit Lagerhalle. Die entsprechenden Berechtigungen der
Antragstellerin liegen für folgende Tätigkeiten vor: …</w:t>
      </w:r>
    </w:p>
    <w:p>
      <w:pPr>
        <w:widowControl w:val="on"/>
        <w:pBdr/>
        <w:spacing w:before="140" w:after="240" w:line="288" w:lineRule="auto"/>
        <w:ind w:left="0" w:right="0"/>
        <w:jc w:val="left"/>
      </w:pPr>
      <w:r>
        <w:rPr>
          <w:rFonts w:ascii="Arial" w:hAnsi="Arial" w:eastAsia="Arial" w:cs="Arial"/>
          <w:color w:val="000000"/>
          <w:sz w:val="20"/>
          <w:szCs w:val="20"/>
        </w:rPr>
        <w:t xml:space="preserve">Ein Teil der im Zuge der Abbruchtätigkeiten hervorgekommenen
Stoffe kann aus Sicht der Antragstellerin nicht zweifelsfrei einer
Abfallart zugeordnet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w:t>
      </w:r>
      <w:r>
        <w:rPr>
          <w:rFonts w:ascii="Arial" w:hAnsi="Arial" w:eastAsia="Arial" w:cs="Arial"/>
          <w:b/>
          <w:bCs/>
          <w:color w:val="363A40"/>
          <w:sz w:val="28"/>
          <w:szCs w:val="28"/>
        </w:rPr>
        <w:t xml:space="preserve">Feststellungsgegenstand</w:t>
      </w:r>
      <w:bookmarkStart w:id="71893607" w:name="link6"/>
      <w:bookmarkEnd w:id="71893607"/>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Im Rahmen der Abbruchtätigkeiten sind in einer Menge von
insgesamt rund 4 Tonnen Bau- und Abbruchabfälle, die PCB enthalten
könnten, aufgetreten. Die Abfalleigenschaft ist aus Sicht der
Antragstellerin zweifelsfrei gegeben. Erste Untersuchungen haben
ergeben, dass einer der verwendeten Bodenbeläge PCB enthält. Unklar
ist, ob die Abfälle der Schlüsselnummer 54111 (sonstige PCB-haltige
und PCT-haltige Abfälle) gemäß dem Abfallverzeichnis zuzuordnen
sind.</w:t>
      </w:r>
      <w:r>
        <w:rPr>
          <w:rFonts w:ascii="Arial" w:hAnsi="Arial" w:eastAsia="Arial" w:cs="Arial"/>
          <w:color w:val="000000"/>
          <w:sz w:val="20"/>
          <w:szCs w:val="20"/>
        </w:rPr>
        <w:b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Begründete Zweifel an der Zuordnung zu einer </w:t>
      </w:r>
      <w:r>
        <w:rPr>
          <w:rFonts w:ascii="Arial" w:hAnsi="Arial" w:eastAsia="Arial" w:cs="Arial"/>
          <w:b/>
          <w:bCs/>
          <w:color w:val="363A40"/>
          <w:sz w:val="28"/>
          <w:szCs w:val="28"/>
        </w:rPr>
        <w:t xml:space="preserve">Abfallart</w:t>
      </w:r>
      <w:bookmarkStart w:id="49682247" w:name="link7"/>
      <w:bookmarkEnd w:id="49682247"/>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 [Beschreibung der anfallenden Abfälle und der damit
verbundenen (fachlichen) Fragestellungen zur Zuordnung des
Abfalls]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Antrag</w:t>
      </w:r>
    </w:p>
    <w:p>
      <w:pPr>
        <w:widowControl w:val="on"/>
        <w:pBdr/>
        <w:spacing w:before="140" w:after="240" w:line="288" w:lineRule="auto"/>
        <w:ind w:left="0" w:right="0"/>
        <w:jc w:val="left"/>
      </w:pPr>
      <w:r>
        <w:rPr>
          <w:rFonts w:ascii="Arial" w:hAnsi="Arial" w:eastAsia="Arial" w:cs="Arial"/>
          <w:color w:val="000000"/>
          <w:sz w:val="20"/>
          <w:szCs w:val="20"/>
        </w:rPr>
        <w:t xml:space="preserve">Vor dem Hintergrund der obigen Ausführungen erlaubt sich die
Antragstellerin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Durchführung eines Feststellungsverfahrens gem § 6
Abs 1 Z 2 AWG 2002 zu 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Antragstellerin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826149" w:name="note1"/>
            <w:bookmarkEnd w:id="54826149"/>
            <w:bookmarkStart w:id="423058666056" w:name="note1"/>
            <w:r>
              <w:rPr>
                <w:rFonts w:ascii="Arial" w:hAnsi="Arial" w:eastAsia="Arial" w:cs="Arial"/>
                <w:b/>
                <w:bCs/>
                <w:color w:val="000000"/>
                <w:position w:val="0"/>
                <w:sz w:val="20"/>
                <w:szCs w:val="20"/>
              </w:rPr>
              <w:t xml:space="preserve">[1]</w:t>
            </w:r>
            <w:bookmarkEnd w:id="4230586660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Zuständige Behörde im Verfahren nach § 6 Abs 1 AWG
2002 ist der Landeshauptmann. Die örtliche Zuständigkeit richtet
sich danach, wo sich die Sache zum Zeitpunkt der Einleitung des
Verfahrens befindet (vgl § 6 Abs 3 AWG 2002).</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832948" w:name="note2"/>
            <w:bookmarkEnd w:id="63832948"/>
            <w:bookmarkStart w:id="6783231753946" w:name="note2"/>
            <w:r>
              <w:rPr>
                <w:rFonts w:ascii="Arial" w:hAnsi="Arial" w:eastAsia="Arial" w:cs="Arial"/>
                <w:b/>
                <w:bCs/>
                <w:color w:val="000000"/>
                <w:position w:val="0"/>
                <w:sz w:val="20"/>
                <w:szCs w:val="20"/>
              </w:rPr>
              <w:t xml:space="preserve">[2]</w:t>
            </w:r>
            <w:bookmarkEnd w:id="67832317539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Feststellung gem § 6 Abs 1 Z 2 AWG 2002
erfolgt entweder von Amts wegen durch den Landeshauptmann oder auf
Antrag des Verfügungsberechtigten des Feststellungsgegenstands oder
auf Veranlassung der Bundespolizei nach Maßgabe des § 82 AWG
2002 oder der Zollorgane nach Maßgabe des § 83 AWG 2002. Im
vorliegenden Muster wird die Feststellung darüber beantragt,
welcher Abfallart (im Sinne der Abfallverzeichnisverordnung 2020
BGBl II 409/2020) eine Sache zuzuordnen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Verfügungsberechtigt iSd § 6 Abs 1 AWG 2002 ist
derjenige, der rechtmäßig über den Feststellungsgegenstand
bestimmen bzw verfügen kann (VwGH 24.04.2018, Ra 2017/05/0215; VwGH
11.01.2022, Ra 2020/05/0255).</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848691" w:name="note3"/>
            <w:bookmarkEnd w:id="90848691"/>
            <w:bookmarkStart w:id="9735818031359" w:name="note3"/>
            <w:r>
              <w:rPr>
                <w:rFonts w:ascii="Arial" w:hAnsi="Arial" w:eastAsia="Arial" w:cs="Arial"/>
                <w:b/>
                <w:bCs/>
                <w:color w:val="000000"/>
                <w:position w:val="0"/>
                <w:sz w:val="20"/>
                <w:szCs w:val="20"/>
              </w:rPr>
              <w:t xml:space="preserve">[3]</w:t>
            </w:r>
            <w:bookmarkEnd w:id="97358180313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AWG 2002 regelt verschiedene Feststellungsverfahren,
die sich insbesondere bezüglich Verfahrensgegenstand,
Zuständigkeit, Fristen und Parteien unterscheiden. In den Absätzen
1, 5, 6 und 7 leg cit wird abschließend festgelegt, was Gegenstand
des jeweiligen Feststellungsverfahrens nach § 6 AWG 2002 sein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Abs 1 AWG 2002 sieht eine Entscheidung des
Landeshauptmannes mit Feststellungsbescheid bei Bestehen
begründeter Zweifel, ob eine Sache Abfall im Sinn des Gesetzes ist
(Z 1), welcher Abfallart diese Sache zuzuordnen ist (Z 2) oder ob
eine Sache notifizierungspflichtig iSd Verbringungsverordnung (Nr
1013/2006, ABl L 2006/190,1) ist (Z 3), vor.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6 AWG 2002 regelt allgemein das Feststellungsverfahren;
diese Bestimmung dient – wie auch die Erläuterungen (GP XXI, RV
984, 89) in den Vordergrund stellen – von ihrem Zweck her der
Rechtssicherheit (VwGH 22.12.2005, 2004/07/0133 [VwSlg 16.799
A/2005]).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600925" w:name="note4"/>
            <w:bookmarkEnd w:id="82600925"/>
            <w:bookmarkStart w:id="434676593742" w:name="note4"/>
            <w:r>
              <w:rPr>
                <w:rFonts w:ascii="Arial" w:hAnsi="Arial" w:eastAsia="Arial" w:cs="Arial"/>
                <w:b/>
                <w:bCs/>
                <w:color w:val="000000"/>
                <w:position w:val="0"/>
                <w:sz w:val="20"/>
                <w:szCs w:val="20"/>
              </w:rPr>
              <w:t xml:space="preserve">[4]</w:t>
            </w:r>
            <w:bookmarkEnd w:id="4346765937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Rahmen des Verfahrens trifft die Partei eine
Mitwirkungspflicht, wenn die Behörde sonst nicht in der Lage wäre,
von Amts wegen den entscheidungsrelevanten Sachverhalt
festzustellen. Konkret bedeutet das, dass der Verfügungsberechtigte
Proben der im Verfahren gegenständlichen Sache zu übermitteln bzw
der Behörde den Zugang zu der Sache zu ermöglichen hat. Die Vorlage
von Analysen oder Gutachten ist nicht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6 Abs 1 zweiter Satz AWG 2002 hat der
Verfügungsberechtigte die für die Beurteilung erforderlichen
Unterlagen vorzulegen.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17255" w:name="note5"/>
            <w:bookmarkEnd w:id="4517255"/>
            <w:bookmarkStart w:id="2826554657593" w:name="note5"/>
            <w:r>
              <w:rPr>
                <w:rFonts w:ascii="Arial" w:hAnsi="Arial" w:eastAsia="Arial" w:cs="Arial"/>
                <w:b/>
                <w:bCs/>
                <w:color w:val="000000"/>
                <w:position w:val="0"/>
                <w:sz w:val="20"/>
                <w:szCs w:val="20"/>
              </w:rPr>
              <w:t xml:space="preserve">[5]</w:t>
            </w:r>
            <w:bookmarkEnd w:id="28265546575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Zunächst sollte kurz geschildert werden, von welchem Sachverhalt
auszugehen ist. Sämtliche diesbezüglichen Angaben sind frei
erfunden und wurden nicht auf ihre technische oder sonstige
inhaltliche Richtigkeit geprüft.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021486" w:name="note6"/>
            <w:bookmarkEnd w:id="27021486"/>
            <w:bookmarkStart w:id="8408472531790" w:name="note6"/>
            <w:r>
              <w:rPr>
                <w:rFonts w:ascii="Arial" w:hAnsi="Arial" w:eastAsia="Arial" w:cs="Arial"/>
                <w:b/>
                <w:bCs/>
                <w:color w:val="000000"/>
                <w:position w:val="0"/>
                <w:sz w:val="20"/>
                <w:szCs w:val="20"/>
              </w:rPr>
              <w:t xml:space="preserve">[6]</w:t>
            </w:r>
            <w:bookmarkEnd w:id="84084725317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Feststellungsgegenstand wird bei amtswegigen
Feststellungsverfahren von der Behörde und sonst vom Antragsteller
bestimmt. Dabei muss der Antragsteller die Sache, auf die sich das
Feststellungsverfahren beziehen soll, bestimmen. Angaben
hinsichtlich Beschaffenheit, Menge und sonstige für die Beurteilung
relevante Umstände (zB der Ort an dem sich die Sache befindet) sind
vom Antragsteller anzugeben (vgl VwGH 24.04.2018, Ra
2017/05/0215).</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884175" w:name="note7"/>
            <w:bookmarkEnd w:id="65884175"/>
            <w:bookmarkStart w:id="7705705674295" w:name="note7"/>
            <w:r>
              <w:rPr>
                <w:rFonts w:ascii="Arial" w:hAnsi="Arial" w:eastAsia="Arial" w:cs="Arial"/>
                <w:b/>
                <w:bCs/>
                <w:color w:val="000000"/>
                <w:position w:val="0"/>
                <w:sz w:val="20"/>
                <w:szCs w:val="20"/>
              </w:rPr>
              <w:t xml:space="preserve">[7]</w:t>
            </w:r>
            <w:bookmarkEnd w:id="77057056742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 der bloßen Antragstellung allein können noch keine
berechtigten Zweifel des Antragstellers an der Abfalleigenschaft
der Sache (bezogen auf Z 1) bzw an der Zuordnung des Stoffes
zu einer Abfallart (bezogen auf Z 2) abgeleitet werden. Die
begründeten Zweifel sind daher im Antrag darzulegen.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Vorliegen rechtskräftiger Bescheide gem § 10 ALSAG
1989, in denen über die Abfalleigenschaft abgesprochen wurde, macht
einen auf § 6 AWG 2002 gestützten Antrag auf Feststellung der
Abfalleigenschaft derselben Sache nicht wegen entschiedener Sache
unzulässig (VwGH 29.03.2017, Ra 2016/05/0056).</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4765">
    <w:multiLevelType w:val="hybridMultilevel"/>
    <w:lvl w:ilvl="0" w:tplc="81772301">
      <w:start w:val="1"/>
      <w:numFmt w:val="decimal"/>
      <w:lvlText w:val="%1."/>
      <w:lvlJc w:val="left"/>
      <w:pPr>
        <w:ind w:left="720" w:hanging="360"/>
      </w:pPr>
    </w:lvl>
    <w:lvl w:ilvl="1" w:tplc="81772301" w:tentative="1">
      <w:start w:val="1"/>
      <w:numFmt w:val="lowerLetter"/>
      <w:lvlText w:val="%2."/>
      <w:lvlJc w:val="left"/>
      <w:pPr>
        <w:ind w:left="1440" w:hanging="360"/>
      </w:pPr>
    </w:lvl>
    <w:lvl w:ilvl="2" w:tplc="81772301" w:tentative="1">
      <w:start w:val="1"/>
      <w:numFmt w:val="lowerRoman"/>
      <w:lvlText w:val="%3."/>
      <w:lvlJc w:val="right"/>
      <w:pPr>
        <w:ind w:left="2160" w:hanging="180"/>
      </w:pPr>
    </w:lvl>
    <w:lvl w:ilvl="3" w:tplc="81772301" w:tentative="1">
      <w:start w:val="1"/>
      <w:numFmt w:val="decimal"/>
      <w:lvlText w:val="%4."/>
      <w:lvlJc w:val="left"/>
      <w:pPr>
        <w:ind w:left="2880" w:hanging="360"/>
      </w:pPr>
    </w:lvl>
    <w:lvl w:ilvl="4" w:tplc="81772301" w:tentative="1">
      <w:start w:val="1"/>
      <w:numFmt w:val="lowerLetter"/>
      <w:lvlText w:val="%5."/>
      <w:lvlJc w:val="left"/>
      <w:pPr>
        <w:ind w:left="3600" w:hanging="360"/>
      </w:pPr>
    </w:lvl>
    <w:lvl w:ilvl="5" w:tplc="81772301" w:tentative="1">
      <w:start w:val="1"/>
      <w:numFmt w:val="lowerRoman"/>
      <w:lvlText w:val="%6."/>
      <w:lvlJc w:val="right"/>
      <w:pPr>
        <w:ind w:left="4320" w:hanging="180"/>
      </w:pPr>
    </w:lvl>
    <w:lvl w:ilvl="6" w:tplc="81772301" w:tentative="1">
      <w:start w:val="1"/>
      <w:numFmt w:val="decimal"/>
      <w:lvlText w:val="%7."/>
      <w:lvlJc w:val="left"/>
      <w:pPr>
        <w:ind w:left="5040" w:hanging="360"/>
      </w:pPr>
    </w:lvl>
    <w:lvl w:ilvl="7" w:tplc="81772301" w:tentative="1">
      <w:start w:val="1"/>
      <w:numFmt w:val="lowerLetter"/>
      <w:lvlText w:val="%8."/>
      <w:lvlJc w:val="left"/>
      <w:pPr>
        <w:ind w:left="5760" w:hanging="360"/>
      </w:pPr>
    </w:lvl>
    <w:lvl w:ilvl="8" w:tplc="81772301" w:tentative="1">
      <w:start w:val="1"/>
      <w:numFmt w:val="lowerRoman"/>
      <w:lvlText w:val="%9."/>
      <w:lvlJc w:val="right"/>
      <w:pPr>
        <w:ind w:left="6480" w:hanging="180"/>
      </w:pPr>
    </w:lvl>
  </w:abstractNum>
  <w:abstractNum w:abstractNumId="68684764">
    <w:multiLevelType w:val="hybridMultilevel"/>
    <w:lvl w:ilvl="0" w:tplc="78277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4764">
    <w:abstractNumId w:val="68684764"/>
  </w:num>
  <w:num w:numId="68684765">
    <w:abstractNumId w:val="68684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6542776" Type="http://schemas.openxmlformats.org/officeDocument/2006/relationships/numbering" Target="numbering.xml"/><Relationship Id="rId4860200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