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3134258" w:name="document"/>
    <w:bookmarkEnd w:id="13134258"/>
    <w:p/>
    <w:p>
      <w:pPr>
        <w:widowControl w:val="on"/>
        <w:pBdr/>
        <w:spacing w:before="0" w:after="280" w:line="240" w:lineRule="auto"/>
        <w:ind w:left="0" w:right="0"/>
        <w:jc w:val="left"/>
      </w:pPr>
      <w:r>
        <w:rPr>
          <w:rFonts w:ascii="Arial" w:hAnsi="Arial" w:eastAsia="Arial" w:cs="Arial"/>
          <w:color w:val="363A40"/>
          <w:sz w:val="24"/>
          <w:szCs w:val="24"/>
        </w:rPr>
        <w:t xml:space="preserve">Dokument-ID: 822357 | Claudia Reithmayer-Ebner
- Erich Rosenbach - Redaktion FORUM Media - Alexander Kdolsky -
Stanislava Doganova | Muster | Formular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Betriebsanlagengenehmigung – Antrag – Einzelunternehmer</w:t>
      </w:r>
    </w:p>
    <w:p>
      <w:pPr>
        <w:widowControl w:val="on"/>
        <w:pBdr/>
        <w:spacing w:before="140" w:after="240" w:line="288" w:lineRule="auto"/>
        <w:ind w:left="0" w:right="0"/>
        <w:jc w:val="left"/>
      </w:pPr>
      <w:r>
        <w:rPr>
          <w:rFonts w:ascii="Arial" w:hAnsi="Arial" w:eastAsia="Arial" w:cs="Arial"/>
          <w:color w:val="000000"/>
          <w:sz w:val="20"/>
          <w:szCs w:val="20"/>
        </w:rPr>
        <w:t xml:space="preserve">An </w:t>
      </w:r>
      <w:r>
        <w:rPr>
          <w:rFonts w:ascii="Arial" w:hAnsi="Arial" w:eastAsia="Arial" w:cs="Arial"/>
          <w:color w:val="000000"/>
          <w:sz w:val="20"/>
          <w:szCs w:val="20"/>
        </w:rPr>
        <w:t xml:space="preserve">die/das/den</w:t>
      </w:r>
      <w:bookmarkStart w:id="97220435" w:name="link1"/>
      <w:bookmarkEnd w:id="97220435"/>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b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Gem § 74 Abs 2 Gewerbeordnung 1994 ist für die
Ausübung eines Gewerbes in einer Betriebsanlage eine
Betriebsanlagengenehmigung der Bezirksverwaltungsbehörde zu
beantragen, wenn diese Tätigkeit geeignet ist, besondere geschützte
Interessen vor allem der Nachbarn und die Umwelt zu </w:t>
      </w:r>
      <w:r>
        <w:rPr>
          <w:rFonts w:ascii="Arial" w:hAnsi="Arial" w:eastAsia="Arial" w:cs="Arial"/>
          <w:color w:val="000000"/>
          <w:sz w:val="20"/>
          <w:szCs w:val="20"/>
        </w:rPr>
        <w:t xml:space="preserve">beeinträchtigen.</w:t>
      </w:r>
      <w:bookmarkStart w:id="88202169" w:name="link2"/>
      <w:bookmarkEnd w:id="88202169"/>
      <w:hyperlink w:anchor="note2" w:history="1">
        <w:r>
          <w:rPr>
            <w:rFonts w:ascii="Arial" w:hAnsi="Arial" w:eastAsia="Arial" w:cs="Arial"/>
            <w:b/>
            <w:bCs/>
            <w:color w:val="006BB6"/>
            <w:position w:val="4"/>
            <w:sz w:val="22"/>
            <w:szCs w:val="22"/>
            <w:vertAlign w:val="superscript"/>
          </w:rPr>
          <w:t xml:space="preserve">2</w:t>
        </w:r>
      </w:hyperlink>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500"/>
        <w:gridCol w:w="2500"/>
      </w:tblGrid>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Antragssteller</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GISA-Zahl</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Wohnanschrift</w:t>
            </w:r>
          </w:p>
        </w:tc>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Telefonnummer/E-Mail-Adresse (für Rückfragen)</w:t>
            </w:r>
          </w:p>
        </w:tc>
      </w:tr>
      <w:tr>
        <w:trPr>
          <w:trHeight w:val="0" w:hRule="atLeast"/>
        </w:trPr>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Standort der Betriebsanlage</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diesen Standort wird um gewerbebehördliche Genehmigung einer
Betriebsanlage zur Ausübung des Gewerbes … [Art des Gewerbes]
angesucht.</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Betriebsanlage besteht aus folgenden Räumen/Flächen: …</w:t>
            </w:r>
            <w:r>
              <w:rPr>
                <w:rFonts w:ascii="Arial" w:hAnsi="Arial" w:eastAsia="Arial" w:cs="Arial"/>
                <w:color w:val="000000"/>
                <w:position w:val="0"/>
                <w:sz w:val="20"/>
                <w:szCs w:val="20"/>
                <w:shd w:val="clear" w:color="auto" w:fill="FFFFFF"/>
              </w:rPr>
              <w:br/>
              <w:t xml:space="preserve">[kurz betrieblich genutzte Räume/Flächen und deren Nutzung
ergänzen]</w:t>
            </w:r>
          </w:p>
        </w:tc>
      </w:tr>
      <w:tr>
        <w:trPr>
          <w:trHeight w:val="0" w:hRule="atLeast"/>
        </w:trPr>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Größe der Betriebsanlage in m²</w:t>
            </w:r>
          </w:p>
        </w:tc>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Betriebszeiten</w:t>
            </w:r>
          </w:p>
        </w:tc>
      </w:tr>
      <w:tr>
        <w:trPr>
          <w:trHeight w:val="0" w:hRule="atLeast"/>
        </w:trPr>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Montag bis Freitag von … bis … Uhr</w:t>
            </w:r>
            <w:r>
              <w:rPr>
                <w:rFonts w:ascii="Arial" w:hAnsi="Arial" w:eastAsia="Arial" w:cs="Arial"/>
                <w:color w:val="000000"/>
                <w:position w:val="0"/>
                <w:sz w:val="20"/>
                <w:szCs w:val="20"/>
                <w:shd w:val="clear" w:color="auto" w:fill="FFFFFF"/>
              </w:rPr>
              <w:br/>
              <w:t xml:space="preserve">Samstag von … bis … Uhr</w:t>
            </w:r>
          </w:p>
        </w:tc>
      </w:tr>
      <w:tr>
        <w:trPr>
          <w:trHeight w:val="0" w:hRule="atLeast"/>
        </w:trPr>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Anzahl der Arbeitnehmer</w:t>
            </w:r>
          </w:p>
        </w:tc>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Elektrische Anschlussleistung der Geräte und Maschinen</w:t>
            </w:r>
          </w:p>
        </w:tc>
      </w:tr>
      <w:tr>
        <w:trPr>
          <w:trHeight w:val="0" w:hRule="atLeast"/>
        </w:trPr>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500" w:type="pct"/>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Angaben zur Lüftung und Heizung der Räume [kurze
Beschreibung]</w:t>
            </w:r>
          </w:p>
        </w:tc>
      </w:tr>
      <w:tr>
        <w:trPr>
          <w:trHeight w:val="0" w:hRule="atLeast"/>
        </w:trPr>
        <w:tc>
          <w:tcPr>
            <w:tcW w:w="2500" w:type="pct"/>
            <w:gridSpan w:val="2"/>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Folgende Unterlagen sind diesem Antrag beigegeben:</w:t>
      </w:r>
    </w:p>
    <w:p>
      <w:pPr>
        <w:numPr>
          <w:ilvl w:val="0"/>
          <w:numId w:val="7276051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vierfacher Ausfertigung (bei elektronischer Einbringung
genügt der Anschluss in einfacher Ausfertigung)
</w:t>
      </w:r>
    </w:p>
    <w:p>
      <w:pPr>
        <w:numPr>
          <w:ilvl w:val="1"/>
          <w:numId w:val="7276051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Betriebsbeschreibung einschließlich eines Verzeichnisses
der Maschinen und sonstigen Betriebseinrichtungen; das Verzeichnis
hat zumindest aus Rahmenangaben von Prozess-, Leistungs- oder
Emissionsdaten und von Stoffeigenschaften und -mengen (mit
beispielhaft angeführten Maschinen, Geräten oder Ausstattungen
sowie Gefährlichkeitsmerkmalen) zu bestehen, wobei diese
Rahmenangaben jeweils den höchsten beabsichtigten Auslastungsgrad,
die höchste beabsichtigte Emissionsintensität bzw den höchsten
Gefährlichkeitsgrad anzuführen haben,</w:t>
      </w:r>
    </w:p>
    <w:p>
      <w:pPr>
        <w:numPr>
          <w:ilvl w:val="1"/>
          <w:numId w:val="7276051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erforderlichen Pläne und Skizzen,</w:t>
      </w:r>
    </w:p>
    <w:p>
      <w:pPr>
        <w:numPr>
          <w:ilvl w:val="1"/>
          <w:numId w:val="7276051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Abfallwirtschaftskonzept; dieses hat zu enthalten:
</w:t>
      </w:r>
    </w:p>
    <w:p>
      <w:pPr>
        <w:numPr>
          <w:ilvl w:val="2"/>
          <w:numId w:val="7276051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Angaben über die Branchen und den Zweck der Anlage,</w:t>
      </w:r>
    </w:p>
    <w:p>
      <w:pPr>
        <w:numPr>
          <w:ilvl w:val="2"/>
          <w:numId w:val="7276051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verfahrensbezogene Darstellung des Betriebs,</w:t>
      </w:r>
    </w:p>
    <w:p>
      <w:pPr>
        <w:numPr>
          <w:ilvl w:val="2"/>
          <w:numId w:val="7276051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abfallrelevante Darstellung des Betriebs,</w:t>
      </w:r>
    </w:p>
    <w:p>
      <w:pPr>
        <w:numPr>
          <w:ilvl w:val="2"/>
          <w:numId w:val="7276051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organisatorische Vorkehrungen zur Einhaltung
abfallwirtschaftlicher Rechtsvorschriften und</w:t>
      </w:r>
    </w:p>
    <w:p>
      <w:pPr>
        <w:numPr>
          <w:ilvl w:val="2"/>
          <w:numId w:val="7276051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Abschätzung der zukünftigen Entwicklung.</w:t>
      </w:r>
    </w:p>
    <w:p>
      <w:pPr>
        <w:numPr>
          <w:ilvl w:val="0"/>
          <w:numId w:val="7276051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einfacher Ausfertigung nicht unter Punkt 1 fallende für die
Beurteilung des Projekts und der zu erwartenden Emissionen der
Anlage im Ermittlungsverfahren erforderliche technischen Unterlagen
und</w:t>
      </w:r>
    </w:p>
    <w:p>
      <w:pPr>
        <w:numPr>
          <w:ilvl w:val="0"/>
          <w:numId w:val="7276051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einfacher Ausfertigung die zur Beurteilung des Schutzes
jener Interessen erforderlichen Unterlagen, die die Behörde nach
anderen Rechtsvorschriften im Verfahren zur Genehmigung der
Betriebsanlage mitzuberücksichtigen hat.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Antragsteller:</w:t>
      </w:r>
      <w:bookmarkStart w:id="58429326" w:name="link8"/>
      <w:bookmarkEnd w:id="58429326"/>
      <w:hyperlink w:anchor="note8" w:history="1">
        <w:r>
          <w:rPr>
            <w:rFonts w:ascii="Arial" w:hAnsi="Arial" w:eastAsia="Arial" w:cs="Arial"/>
            <w:b/>
            <w:bCs/>
            <w:color w:val="006BB6"/>
            <w:position w:val="4"/>
            <w:sz w:val="22"/>
            <w:szCs w:val="22"/>
            <w:vertAlign w:val="superscript"/>
          </w:rPr>
          <w:t xml:space="preserve">8</w:t>
        </w:r>
      </w:hyperlink>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757449" w:name="note1"/>
            <w:bookmarkEnd w:id="62757449"/>
            <w:bookmarkStart w:id="5730636868510" w:name="note1"/>
            <w:r>
              <w:rPr>
                <w:rFonts w:ascii="Arial" w:hAnsi="Arial" w:eastAsia="Arial" w:cs="Arial"/>
                <w:b/>
                <w:bCs/>
                <w:color w:val="000000"/>
                <w:position w:val="0"/>
                <w:sz w:val="20"/>
                <w:szCs w:val="20"/>
              </w:rPr>
              <w:t xml:space="preserve">[1]</w:t>
            </w:r>
            <w:bookmarkEnd w:id="573063686851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Zuständigkeit im Betriebsanlagengenehmigungsverfahren
richtet sich nach den allgemeinen Vorschriften: Gem § 333
Abs 1 GewO 1994 ist die Bezirksverwaltungsbehörde zuständig,
das ist iA die Bezirkshauptmannschaft bzw in Statutarstädten der
Magistrat.</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2176669" w:name="note2"/>
            <w:bookmarkEnd w:id="72176669"/>
            <w:bookmarkStart w:id="1170231941840" w:name="note2"/>
            <w:r>
              <w:rPr>
                <w:rFonts w:ascii="Arial" w:hAnsi="Arial" w:eastAsia="Arial" w:cs="Arial"/>
                <w:b/>
                <w:bCs/>
                <w:color w:val="000000"/>
                <w:position w:val="0"/>
                <w:sz w:val="20"/>
                <w:szCs w:val="20"/>
              </w:rPr>
              <w:t xml:space="preserve">[2]</w:t>
            </w:r>
            <w:bookmarkEnd w:id="117023194184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Während § 74 Abs 1 GewO 1994 die Betriebsanlage
definiert (als jede örtlich gebundene Einrichtung …, die der
Entfaltung einer gewerblichen Tätigkeit nicht bloß vorübergehend zu
dienen bestimmt ist), regelt (insbesondere) Abs 2 leg cit die
Genehmigungspflicht von Betriebsanlagen.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3413551" w:name="note3"/>
            <w:bookmarkEnd w:id="43413551"/>
            <w:bookmarkStart w:id="4062211047387" w:name="note3"/>
            <w:r>
              <w:rPr>
                <w:rFonts w:ascii="Arial" w:hAnsi="Arial" w:eastAsia="Arial" w:cs="Arial"/>
                <w:b/>
                <w:bCs/>
                <w:color w:val="000000"/>
                <w:position w:val="0"/>
                <w:sz w:val="20"/>
                <w:szCs w:val="20"/>
              </w:rPr>
              <w:t xml:space="preserve">[3]</w:t>
            </w:r>
            <w:bookmarkEnd w:id="406221104738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 Auslegung des Begriffs „behördlich genehmigte Anlage“ (vor
dem Hintergrund des § 364a ABGB). Nur wenn die Genehmigung der
Anlage aufgrund eines Verfahrens erfolgt, in dem die
Berücksichtigung der Interessen der Nachbarn in derselben oder doch
in gleich wirksamer Weise vorgesehen ist wie im Verfahren zur
Genehmigung von Betriebsanlagen nach der Gewerbeordnung, ist es
gerechtfertigt, dem Grundnachbarn das aufgrund seines
Eigentumsrechtes an sich gegebene Untersagungsrecht zu nehmen und
ihn auf einen Ersatzanspruch zu verweisen (RS0010682 [T8] =
OGH 29.04.2004, 6 Ob 15/04f; OGH 17.02.2010, 2 Ob 57/09k).</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9572274" w:name="note4"/>
            <w:bookmarkEnd w:id="89572274"/>
            <w:bookmarkStart w:id="5275653885299" w:name="note4"/>
            <w:r>
              <w:rPr>
                <w:rFonts w:ascii="Arial" w:hAnsi="Arial" w:eastAsia="Arial" w:cs="Arial"/>
                <w:b/>
                <w:bCs/>
                <w:color w:val="000000"/>
                <w:position w:val="0"/>
                <w:sz w:val="20"/>
                <w:szCs w:val="20"/>
              </w:rPr>
              <w:t xml:space="preserve">[4]</w:t>
            </w:r>
            <w:bookmarkEnd w:id="527565388529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einer gewerblichen Betriebsanlage iSd §§ 74 ff GewO
1994 ist die Gesamtheit jener Einrichtungen zu verstehen, die dem
Zweck des Betriebes eines Unternehmens gewidmet sind und in einem
örtlichen Zusammenhang stehen. Nicht die einzelnen Maschinen,
Geräte oder die beim Betrieb vorkommenden Tätigkeiten bilden den
Gegenstand der behördlichen Genehmigung, sondern die gesamte
gewerbliche Betriebsanlage, die eine Einheit darstellt.
Einrichtungen, die unter Bedachtnahme auf die Kriterien des
§ 74 Abs 2 Einleitungssatz GewO 1994 mit einer
gewerblichen Betriebsanlage in einem sachlichen (betrieblichen) und
örtlichen Zusammenhang stehen, zählen zu dieser Betriebsanlage. Sie
können, weil die GewO 1994 nicht vorsieht, dass für eine
Betriebsanlage Genehmigungen mehrfach nebeneinander erteilt werden
können, nicht „abgesondert“ genehmigt werden. Vielmehr bewirkt die
Errichtung und Inbetriebnahme einer mit einer rechtskräftig
genehmigten Betriebsanlage in einem solchen Zusammenhang stehenden
Einrichtung bei Erfüllung der Tatbestandsmerkmale des § 81
GewO 1994 eine genehmigungspflichtige Änderung der genehmigten
Anlage, wobei die Genehmigung auch die bereits genehmigte Anlage
soweit zu umfassen hat, als es wegen der Änderung zur Wahrung der
im § 74 Abs 2 GewO 1994 umschriebenen Interessen
gegenüber der bereits genehmigten Anlage erforderlich ist (VwGH
12.04.2018, Ra 2018/04/0092; VwGH 04.11.2024, Ra
2021/04/0096).</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2349414" w:name="note5"/>
            <w:bookmarkEnd w:id="72349414"/>
            <w:bookmarkStart w:id="8560879964298" w:name="note5"/>
            <w:r>
              <w:rPr>
                <w:rFonts w:ascii="Arial" w:hAnsi="Arial" w:eastAsia="Arial" w:cs="Arial"/>
                <w:b/>
                <w:bCs/>
                <w:color w:val="000000"/>
                <w:position w:val="0"/>
                <w:sz w:val="20"/>
                <w:szCs w:val="20"/>
              </w:rPr>
              <w:t xml:space="preserve">[5]</w:t>
            </w:r>
            <w:bookmarkEnd w:id="856087996429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Merkmal „Gefährdung der Gesundheit“ ist ein unbestimmter
Gesetzesbegriff. Darunter ist eine Einwirkung auf den menschlichen
Organismus zu verstehen, deren Art und Nachhaltigkeit über eine
bloße Belästigung hinausgeht. Mangels einer entsprechenden
gesetzlichen Anordnung ist die Frage der Gefährdung des Lebens und
der Gesundheit nicht (auch) nach dem Maßstab eines gesunden, normal
empfindenden Kindes zu beantworten und ebenso wenig auf den Maßstab
eines gesunden, normal empfindenden Menschen schlechthin
abzustellen. Hinsichtlich des Merkmals „Gefährdung der
Gesundheit“ kommt es allein darauf an, ob nach einer dem Stand der
medizinischen Wissenschaft entsprechenden, objektiven Gegebenheiten
Rechnung tragenden Betrachtung auszuschließen ist, dass die auf die
Betriebsweise zurückzuführenden Immissionen dergestalt sind, dass
sie zu einer Gesundheitsgefährdung führen können. Die objektiven
Gegebenheiten Rechnung tragende Betrachtung stellt jedoch nicht auf
die konkrete gesundheitliche Situation einer Einzelperson ab (VwGH
06.03.2024, Ra 2021/04/0228 mwN).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4541927" w:name="note6"/>
            <w:bookmarkEnd w:id="24541927"/>
            <w:bookmarkStart w:id="6930712105178" w:name="note6"/>
            <w:r>
              <w:rPr>
                <w:rFonts w:ascii="Arial" w:hAnsi="Arial" w:eastAsia="Arial" w:cs="Arial"/>
                <w:b/>
                <w:bCs/>
                <w:color w:val="000000"/>
                <w:position w:val="0"/>
                <w:sz w:val="20"/>
                <w:szCs w:val="20"/>
              </w:rPr>
              <w:t xml:space="preserve">[6]</w:t>
            </w:r>
            <w:bookmarkEnd w:id="69307121051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Wie sich bereits aus dem Wortlaut des Einleitungssatzes des
§ 74 Abs 2 GewO 1994 ergibt, begründet schon die
(grundsätzliche) Eignung einer Betriebsanlage, die in den Z 1
bis 5 dieser Gesetzesstelle genannten Gefährdungen, Belästigungen,
Beeinträchtigungen oder nachteiligen Einwirkungen herbeizuführen,
die Genehmigungspflicht. Ob solche Gefährdungen, Belästigungen,
Beeinträchtigungen oder sonstige nachteilige Einwirkungen im
konkreten Einzelfall tatsächlich von der Betriebsanlage ausgehen,
ist sodann im Genehmigungsverfahren zu prüfen und, je nach dem
Ergebnis dieser Prüfungen – allenfalls unter Vorschreibung von
Auflagen –, die Genehmigung nach § 77 GewO 1994 zu
erteilen oder zu versagen (VwGH 08.11.2000,
2000/04/0157; VwGH 08.02.2024, Ra 2023/04/0275).</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7851782" w:name="note7"/>
            <w:bookmarkEnd w:id="97851782"/>
            <w:bookmarkStart w:id="139263518877" w:name="note7"/>
            <w:r>
              <w:rPr>
                <w:rFonts w:ascii="Arial" w:hAnsi="Arial" w:eastAsia="Arial" w:cs="Arial"/>
                <w:b/>
                <w:bCs/>
                <w:color w:val="000000"/>
                <w:position w:val="0"/>
                <w:sz w:val="20"/>
                <w:szCs w:val="20"/>
              </w:rPr>
              <w:t xml:space="preserve">[7]</w:t>
            </w:r>
            <w:bookmarkEnd w:id="13926351887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wird zwischen einem ordentlichen Genehmigungsverfahren (vgl
§§ 353 ff GewO 1994) und einem vereinfachten
Genehmigungsverfahren (vgl § 359b GewO 1994)
unterschieden.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Im gewerberechtlichen Genehmigungsverfahren sind die
Einreichunterlagen zugrunde zu legen und diese auf ihre
Genehmigungsfähigkeit zu prüfen. Dementsprechend umfasst die
behördliche Genehmigung auch nur das in diesen Unterlagen
beschriebene Projekt (VwGH 16.06.2020, Ra 2020/04/0040).</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4039201" w:name="note8"/>
            <w:bookmarkEnd w:id="54039201"/>
            <w:bookmarkStart w:id="9204908635276" w:name="note8"/>
            <w:r>
              <w:rPr>
                <w:rFonts w:ascii="Arial" w:hAnsi="Arial" w:eastAsia="Arial" w:cs="Arial"/>
                <w:b/>
                <w:bCs/>
                <w:color w:val="000000"/>
                <w:position w:val="0"/>
                <w:sz w:val="20"/>
                <w:szCs w:val="20"/>
              </w:rPr>
              <w:t xml:space="preserve">[8]</w:t>
            </w:r>
            <w:bookmarkEnd w:id="920490863527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Zur Antragsbefugnis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Zum Antrag auf Genehmigung oder Änderung einer Betriebsanlage
ist allein deren Inhaber legitimiert. „Inhaber“ ist, wer eine Sache
in seiner Gewahrsame hat (§ 309 ABGB). Zum Unterschied vom
Besitzer bedarf der Inhaber des so genannten Eigentümerwillens
nicht. Solcherart ist unter anderem auch der Bestandnehmer vom
Inhaberbegriff umfasst. Es kommt somit darauf an, wer die
Betriebsanlage „betreibt“. Mit dem „Inhaber“ wird daher der Fall
der unmittelbaren Innehabung (im Wesentlichen Möglichkeit der
Bestimmung des in der Betriebsanlage ausgeübten faktischen
Geschehens) angesprochen. Die Rechtsstellung des
Genehmigungswerbers einer Betriebsanlage als (etwa) Eigentümer der
Liegenschaft des Betriebsstandortes ist nicht
Genehmigungsvoraussetzung. Vielmehr kommt dem Eigentümer des
Grundstückes, auf dem eine gewerbliche Betriebsanlage betrieben
werden soll, wenn er nicht gleichzeitig Inhaber der Betriebsanlage
ist, bei Vorliegen der Voraussetzungen des § 75 Abs 2
GewO 1994 die Rechtsstellung eines Nachbarn zu. Ausgehend davon
lässt der Umstand der Veräußerung des Betriebsgrundstückes noch
keine zwingenden Rückschlüsse auf die Inhabereigenschaft (bzw auf
den Verlust der Inhabereigenschaft des Masseverwalters) zu (VwGH
11.05.2017, Ra 2017/04/0034).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Innehabung ist jedoch nicht bloß räumlich-körperlich zu
verstehen, sondern als äußere Erscheinung der Herrschaft über den
Gegenstand nach Maßgabe der Verkehrsauffassung. Sie kann auch durch
abhängige Gehilfen, so genannte „Besitzdiener“ (Familienangehörige,
Hausgehilfen, Dienstnehmer uÄ), ausgeübt und durch Partner aus
solchen Rechtsverhältnissen vermittelt werden, die eine Anerkennung
der Oberherrschaft bedeuten, so genannte „Besitzmittler“
(Verwahrer, Entlehner, Bestandnehmer, oder Fruchtnießer,
Vorbehaltskäufer uÄ) (VwGH 03.09.2020, Ra 2018/04/0186).</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615590" w:name="note9"/>
            <w:bookmarkEnd w:id="4615590"/>
            <w:bookmarkStart w:id="385640230486" w:name="note9"/>
            <w:r>
              <w:rPr>
                <w:rFonts w:ascii="Arial" w:hAnsi="Arial" w:eastAsia="Arial" w:cs="Arial"/>
                <w:b/>
                <w:bCs/>
                <w:color w:val="000000"/>
                <w:position w:val="0"/>
                <w:sz w:val="20"/>
                <w:szCs w:val="20"/>
              </w:rPr>
              <w:t xml:space="preserve">[9]</w:t>
            </w:r>
            <w:bookmarkEnd w:id="38564023048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Hat die Gewerbebehörde eine Betriebsanlage zwar genehmigt,
gleichzeitig aber Auflagen angeordnet, so hat sie deren Befolgung –
jedenfalls aber soweit, als diese Auflagen, zur Vermeidung der
Gefährdung der körperlichen Sicherheit von Personen angeordnet
wurden - auf geeignete Weise zu überwachen. Hat die Gewerbebehörde
die Überwachung ihrer Auflagen unterlassen, dann fällt dem dafür
verantwortlichen Rechtsträger rechtswidriges Organverhalten zur
Last (RS0049772 = OGH 09.06.1992, 1 Ob 16/92; OGH 25.09.2024,
1 Ob 77/24s).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3536979" w:name="note10"/>
            <w:bookmarkEnd w:id="43536979"/>
            <w:bookmarkStart w:id="5449373870141" w:name="note10"/>
            <w:r>
              <w:rPr>
                <w:rFonts w:ascii="Arial" w:hAnsi="Arial" w:eastAsia="Arial" w:cs="Arial"/>
                <w:b/>
                <w:bCs/>
                <w:color w:val="000000"/>
                <w:position w:val="0"/>
                <w:sz w:val="20"/>
                <w:szCs w:val="20"/>
              </w:rPr>
              <w:t xml:space="preserve">[10]</w:t>
            </w:r>
            <w:bookmarkEnd w:id="544937387014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fällt das Risiko der Erreichung einer
gewerbebehördlichen Genehmigung in den Risikobereich desjenigen,
der sie erreichen muss. Dies gilt auch bei einer nachträglichen
Änderung der gewerberechtlichen Rechtslage oder Spruchpraxis. Eine
Haftung für das Erfüllungsinteresse trifft den Partner des
Genehmigungswerbers nur dann, wenn die Versagung aus einem Grunde
erfolgt, den der Vertragspartner aufgrund seines Verhaltens bei
Vertragsabschluss in seinen Risikobereich übernommen hat (hier:
Gemeinde überlässt einem Unternehmer vertraglich eine Schottergrube
zum Abbau, obwohl die Erteilung der Betriebsanlagengenehmigung
wegen von ihr in unmittelbarer Nähe bewilligter Wohnbauten fraglich
ist) (RS0018045 = OGH 15.09.1982, 1 Ob 16/82).</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9782859" w:name="note11"/>
            <w:bookmarkEnd w:id="89782859"/>
            <w:bookmarkStart w:id="9236760528960" w:name="note11"/>
            <w:r>
              <w:rPr>
                <w:rFonts w:ascii="Arial" w:hAnsi="Arial" w:eastAsia="Arial" w:cs="Arial"/>
                <w:b/>
                <w:bCs/>
                <w:color w:val="000000"/>
                <w:position w:val="0"/>
                <w:sz w:val="20"/>
                <w:szCs w:val="20"/>
              </w:rPr>
              <w:t xml:space="preserve">[11]</w:t>
            </w:r>
            <w:bookmarkEnd w:id="923676052896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Betriebsbeschreibung muss insbesondere präzise Angaben zu
allen jenen Faktoren enthalten, die für die Beurteilung der auf den
Nachbarliegenschaften zu erwartenden Immissionen von Bedeutung
sind, und die Betriebsbeschreibung muss so klar gefasst sein, dass
sie dem Verpflichteten jederzeit die Grenzen seines Verhaltens
zweifelsfrei erkennen lässt (VwGH 17.04.2012,
2010/04/0007; VwGH 03.09.2024, Ra 2021/04/0132).</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3312566" w:name="note12"/>
            <w:bookmarkEnd w:id="13312566"/>
            <w:bookmarkStart w:id="7906216785015" w:name="note12"/>
            <w:r>
              <w:rPr>
                <w:rFonts w:ascii="Arial" w:hAnsi="Arial" w:eastAsia="Arial" w:cs="Arial"/>
                <w:b/>
                <w:bCs/>
                <w:color w:val="000000"/>
                <w:position w:val="0"/>
                <w:sz w:val="20"/>
                <w:szCs w:val="20"/>
              </w:rPr>
              <w:t xml:space="preserve">[12]</w:t>
            </w:r>
            <w:bookmarkEnd w:id="790621678501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einer Betriebsanlage zur Ausübung des Gastgewerbes gehört
die Anzahl der Verabreichungsplätze zu den für das Ausmaß der
Immissionen auf die Nachbarliegenschaften bedeutsamen Faktoren. Die
Anzahl der Verabreichungsplätze ist daher in der
Betriebsbeschreibung entsprechend präzise anzugeben (VwGH
03.09.2024, Ra 2021/04/0132).</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736446" w:name="note13"/>
            <w:bookmarkEnd w:id="69736446"/>
            <w:bookmarkStart w:id="9223676251032" w:name="note13"/>
            <w:r>
              <w:rPr>
                <w:rFonts w:ascii="Arial" w:hAnsi="Arial" w:eastAsia="Arial" w:cs="Arial"/>
                <w:b/>
                <w:bCs/>
                <w:color w:val="000000"/>
                <w:position w:val="0"/>
                <w:sz w:val="20"/>
                <w:szCs w:val="20"/>
              </w:rPr>
              <w:t xml:space="preserve">[13]</w:t>
            </w:r>
            <w:bookmarkEnd w:id="922367625103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Verwaltungsgerichtshof hat sich mit der Abgrenzung von
Vorgängen, die einer gewerberechtlichen Betriebsanlage zuzurechnen
sind, und solchen, die auf öffentlichen Straßen stattfinden und
keinen Bezug zur Betriebsanlage haben, in mehreren den
Immissionsschutz von Nachbarn nach der GewO 1994 betreffenden
Erkenntnissen auseinandergesetzt. Dabei gelangte er zu dem
Ergebnis, dass das bloße Vorbeifahren (ebenso wie das Anhalten,
Halten oder Parken) von Betriebsfahrzeugen auf einer Straße mit
öffentlichem Verkehr, auch wenn es sich um die einzige
Zufahrtsstraße zur Betriebsanlage handelt, nicht mehr als zu einer
gewerblichen Betriebsanlage gehörendes Geschehen gewertet werden
könne. Als entscheidend wurde angesehen, ob die befahrene
Verkehrsfläche „einen Teil der gegenständlichen Betriebsanlage
bildet oder als (unter anderem) bloß der Zufahrt zu dieser
Betriebsanlage dienende Straße mit öffentlichem Verkehr anzusehen
ist“. Letzterenfalls könnten verkehrsbedingte Immissionen nicht
mehr der Betriebsanlage zugerechnet werden (VwGH 08.05.2013,
2011/04/0193 [VwSlg 18.621 A/2013]; VwGH 17.05.2024, Ra
2022/04/0014 mwN).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9247499" w:name="note14"/>
            <w:bookmarkEnd w:id="89247499"/>
            <w:bookmarkStart w:id="4659468255730" w:name="note14"/>
            <w:r>
              <w:rPr>
                <w:rFonts w:ascii="Arial" w:hAnsi="Arial" w:eastAsia="Arial" w:cs="Arial"/>
                <w:b/>
                <w:bCs/>
                <w:color w:val="000000"/>
                <w:position w:val="0"/>
                <w:sz w:val="20"/>
                <w:szCs w:val="20"/>
              </w:rPr>
              <w:t xml:space="preserve">[14]</w:t>
            </w:r>
            <w:bookmarkEnd w:id="465946825573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Genehmigungspflicht iSd § 74 Abs 2 GewO 1994 ist
immer schon dann gegeben, wenn die Auswirkungen im Sinne dieser
Bestimmung (Gefährdungen, Belästigungen, usw) nicht auszuschließen
sind. Um dies zu beurteilen, genügt es in der Regel, auf das
allgemeine menschliche Erfahrungsgut zurückzugreifen. Der Behörde
ist nicht entgegen zu treten, wenn sie davon ausgegangen ist, dass
das Abstellen eines Lkw und eines Baggers schon allein wegen der
damit verbundenen Schallemissionen grundsätzlich geeignet ist, die
im § 74 Abs 2 GewO 1994 genannten Interessen zu
beeinträchtigen (VwGH 22.06.2011, 2009/04/0275).</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605115">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bullet"/>
      <w:lvlText w:val="●"/>
      <w:lvlJc w:val="left"/>
      <w:pPr>
        <w:ind w:left="2160" w:hanging="360"/>
      </w:pPr>
      <w:rPr/>
    </w:lvl>
    <w:lvl w:ilvl="3">
      <w:start w:val=""/>
      <w:numFmt w:val="decimal"/>
      <w:lvlText w:val="%4."/>
      <w:lvlJc w:val="left"/>
      <w:pPr>
        <w:ind w:left="2880" w:hanging="360"/>
      </w:pPr>
      <w:rPr/>
    </w:lvl>
    <w:lvl w:ilvl="4">
      <w:start w:val=""/>
      <w:numFmt w:val="lowerLetter"/>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bullet"/>
      <w:lvlText w:val=""/>
      <w:lvlJc w:val="left"/>
      <w:pPr>
        <w:ind w:left="6480" w:hanging="360"/>
      </w:pPr>
      <w:rPr>
        <w:rFonts w:ascii="Wingdings" w:hAnsi="Wingdings" w:cs="Wingdings" w:hint="default"/>
      </w:rPr>
    </w:lvl>
  </w:abstractNum>
  <w:abstractNum w:abstractNumId="26998431">
    <w:multiLevelType w:val="hybridMultilevel"/>
    <w:lvl w:ilvl="0" w:tplc="91897979">
      <w:start w:val="1"/>
      <w:numFmt w:val="decimal"/>
      <w:lvlText w:val="%1."/>
      <w:lvlJc w:val="left"/>
      <w:pPr>
        <w:ind w:left="720" w:hanging="360"/>
      </w:pPr>
    </w:lvl>
    <w:lvl w:ilvl="1" w:tplc="91897979" w:tentative="1">
      <w:start w:val="1"/>
      <w:numFmt w:val="lowerLetter"/>
      <w:lvlText w:val="%2."/>
      <w:lvlJc w:val="left"/>
      <w:pPr>
        <w:ind w:left="1440" w:hanging="360"/>
      </w:pPr>
    </w:lvl>
    <w:lvl w:ilvl="2" w:tplc="91897979" w:tentative="1">
      <w:start w:val="1"/>
      <w:numFmt w:val="lowerRoman"/>
      <w:lvlText w:val="%3."/>
      <w:lvlJc w:val="right"/>
      <w:pPr>
        <w:ind w:left="2160" w:hanging="180"/>
      </w:pPr>
    </w:lvl>
    <w:lvl w:ilvl="3" w:tplc="91897979" w:tentative="1">
      <w:start w:val="1"/>
      <w:numFmt w:val="decimal"/>
      <w:lvlText w:val="%4."/>
      <w:lvlJc w:val="left"/>
      <w:pPr>
        <w:ind w:left="2880" w:hanging="360"/>
      </w:pPr>
    </w:lvl>
    <w:lvl w:ilvl="4" w:tplc="91897979" w:tentative="1">
      <w:start w:val="1"/>
      <w:numFmt w:val="lowerLetter"/>
      <w:lvlText w:val="%5."/>
      <w:lvlJc w:val="left"/>
      <w:pPr>
        <w:ind w:left="3600" w:hanging="360"/>
      </w:pPr>
    </w:lvl>
    <w:lvl w:ilvl="5" w:tplc="91897979" w:tentative="1">
      <w:start w:val="1"/>
      <w:numFmt w:val="lowerRoman"/>
      <w:lvlText w:val="%6."/>
      <w:lvlJc w:val="right"/>
      <w:pPr>
        <w:ind w:left="4320" w:hanging="180"/>
      </w:pPr>
    </w:lvl>
    <w:lvl w:ilvl="6" w:tplc="91897979" w:tentative="1">
      <w:start w:val="1"/>
      <w:numFmt w:val="decimal"/>
      <w:lvlText w:val="%7."/>
      <w:lvlJc w:val="left"/>
      <w:pPr>
        <w:ind w:left="5040" w:hanging="360"/>
      </w:pPr>
    </w:lvl>
    <w:lvl w:ilvl="7" w:tplc="91897979" w:tentative="1">
      <w:start w:val="1"/>
      <w:numFmt w:val="lowerLetter"/>
      <w:lvlText w:val="%8."/>
      <w:lvlJc w:val="left"/>
      <w:pPr>
        <w:ind w:left="5760" w:hanging="360"/>
      </w:pPr>
    </w:lvl>
    <w:lvl w:ilvl="8" w:tplc="91897979" w:tentative="1">
      <w:start w:val="1"/>
      <w:numFmt w:val="lowerRoman"/>
      <w:lvlText w:val="%9."/>
      <w:lvlJc w:val="right"/>
      <w:pPr>
        <w:ind w:left="6480" w:hanging="180"/>
      </w:pPr>
    </w:lvl>
  </w:abstractNum>
  <w:abstractNum w:abstractNumId="7498716">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bullet"/>
      <w:lvlText w:val="●"/>
      <w:lvlJc w:val="left"/>
      <w:pPr>
        <w:ind w:left="2160" w:hanging="360"/>
      </w:pPr>
      <w:rPr/>
    </w:lvl>
    <w:lvl w:ilvl="3">
      <w:start w:val=""/>
      <w:numFmt w:val="decimal"/>
      <w:lvlText w:val="%4."/>
      <w:lvlJc w:val="left"/>
      <w:pPr>
        <w:ind w:left="2880" w:hanging="360"/>
      </w:pPr>
      <w:rPr/>
    </w:lvl>
    <w:lvl w:ilvl="4">
      <w:start w:val=""/>
      <w:numFmt w:val="lowerLetter"/>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bullet"/>
      <w:lvlText w:val=""/>
      <w:lvlJc w:val="left"/>
      <w:pPr>
        <w:ind w:left="6480" w:hanging="360"/>
      </w:pPr>
      <w:rPr>
        <w:rFonts w:ascii="Wingdings" w:hAnsi="Wingdings" w:cs="Wingdings" w:hint="default"/>
      </w:rPr>
    </w:lvl>
  </w:abstractNum>
  <w:abstractNum w:abstractNumId="26998430">
    <w:multiLevelType w:val="hybridMultilevel"/>
    <w:lvl w:ilvl="0" w:tplc="75500577">
      <w:start w:val="1"/>
      <w:numFmt w:val="decimal"/>
      <w:lvlText w:val="%1."/>
      <w:lvlJc w:val="left"/>
      <w:pPr>
        <w:ind w:left="720" w:hanging="360"/>
      </w:pPr>
    </w:lvl>
    <w:lvl w:ilvl="1" w:tplc="75500577" w:tentative="1">
      <w:start w:val="1"/>
      <w:numFmt w:val="lowerLetter"/>
      <w:lvlText w:val="%2."/>
      <w:lvlJc w:val="left"/>
      <w:pPr>
        <w:ind w:left="1440" w:hanging="360"/>
      </w:pPr>
    </w:lvl>
    <w:lvl w:ilvl="2" w:tplc="75500577" w:tentative="1">
      <w:start w:val="1"/>
      <w:numFmt w:val="lowerRoman"/>
      <w:lvlText w:val="%3."/>
      <w:lvlJc w:val="right"/>
      <w:pPr>
        <w:ind w:left="2160" w:hanging="180"/>
      </w:pPr>
    </w:lvl>
    <w:lvl w:ilvl="3" w:tplc="75500577" w:tentative="1">
      <w:start w:val="1"/>
      <w:numFmt w:val="decimal"/>
      <w:lvlText w:val="%4."/>
      <w:lvlJc w:val="left"/>
      <w:pPr>
        <w:ind w:left="2880" w:hanging="360"/>
      </w:pPr>
    </w:lvl>
    <w:lvl w:ilvl="4" w:tplc="75500577" w:tentative="1">
      <w:start w:val="1"/>
      <w:numFmt w:val="lowerLetter"/>
      <w:lvlText w:val="%5."/>
      <w:lvlJc w:val="left"/>
      <w:pPr>
        <w:ind w:left="3600" w:hanging="360"/>
      </w:pPr>
    </w:lvl>
    <w:lvl w:ilvl="5" w:tplc="75500577" w:tentative="1">
      <w:start w:val="1"/>
      <w:numFmt w:val="lowerRoman"/>
      <w:lvlText w:val="%6."/>
      <w:lvlJc w:val="right"/>
      <w:pPr>
        <w:ind w:left="4320" w:hanging="180"/>
      </w:pPr>
    </w:lvl>
    <w:lvl w:ilvl="6" w:tplc="75500577" w:tentative="1">
      <w:start w:val="1"/>
      <w:numFmt w:val="decimal"/>
      <w:lvlText w:val="%7."/>
      <w:lvlJc w:val="left"/>
      <w:pPr>
        <w:ind w:left="5040" w:hanging="360"/>
      </w:pPr>
    </w:lvl>
    <w:lvl w:ilvl="7" w:tplc="75500577" w:tentative="1">
      <w:start w:val="1"/>
      <w:numFmt w:val="lowerLetter"/>
      <w:lvlText w:val="%8."/>
      <w:lvlJc w:val="left"/>
      <w:pPr>
        <w:ind w:left="5760" w:hanging="360"/>
      </w:pPr>
    </w:lvl>
    <w:lvl w:ilvl="8" w:tplc="75500577" w:tentative="1">
      <w:start w:val="1"/>
      <w:numFmt w:val="lowerRoman"/>
      <w:lvlText w:val="%9."/>
      <w:lvlJc w:val="right"/>
      <w:pPr>
        <w:ind w:left="6480" w:hanging="180"/>
      </w:pPr>
    </w:lvl>
  </w:abstractNum>
  <w:abstractNum w:abstractNumId="26998429">
    <w:multiLevelType w:val="hybridMultilevel"/>
    <w:lvl w:ilvl="0" w:tplc="19597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98429">
    <w:abstractNumId w:val="26998429"/>
  </w:num>
  <w:num w:numId="26998430">
    <w:abstractNumId w:val="26998430"/>
  </w:num>
  <w:num w:numId="7498716">
    <w:abstractNumId w:val="7498716"/>
  </w:num>
  <w:num w:numId="26998431">
    <w:abstractNumId w:val="26998431"/>
  </w:num>
  <w:num w:numId="727605115">
    <w:abstractNumId w:val="7276051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41603284" Type="http://schemas.openxmlformats.org/officeDocument/2006/relationships/numbering" Target="numbering.xml"/><Relationship Id="rId43098311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