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8207579" w:name="document"/>
    <w:bookmarkEnd w:id="98207579"/>
    <w:p/>
    <w:p>
      <w:pPr>
        <w:widowControl w:val="on"/>
        <w:pBdr/>
        <w:spacing w:before="0" w:after="280" w:line="240" w:lineRule="auto"/>
        <w:ind w:left="0" w:right="0"/>
        <w:jc w:val="left"/>
      </w:pPr>
      <w:r>
        <w:rPr>
          <w:rFonts w:ascii="Arial" w:hAnsi="Arial" w:eastAsia="Arial" w:cs="Arial"/>
          <w:color w:val="363A40"/>
          <w:sz w:val="24"/>
          <w:szCs w:val="24"/>
        </w:rPr>
        <w:t xml:space="preserve">Dokument-ID: 932281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Bescheidbeschwerde gegen Verwaltungsstrafe gem FPG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FPG normiert abgesehen von strafgerichtlich zu verfolgenden
Taten (wie zB Schlepperei oder Eingehen und Vermitteln von
Aufenthaltsehen) auch mehrere Verwaltungsübertretungen, deren
Ahndung den Landespolizeidirektionen (LPD) obliegt.</w:t>
      </w:r>
    </w:p>
    <w:p>
      <w:pPr>
        <w:widowControl w:val="on"/>
        <w:pBdr/>
        <w:spacing w:before="140" w:after="240" w:line="288" w:lineRule="auto"/>
        <w:ind w:left="0" w:right="0"/>
        <w:jc w:val="left"/>
      </w:pPr>
      <w:r>
        <w:rPr>
          <w:rFonts w:ascii="Arial" w:hAnsi="Arial" w:eastAsia="Arial" w:cs="Arial"/>
          <w:color w:val="000000"/>
          <w:sz w:val="20"/>
          <w:szCs w:val="20"/>
        </w:rPr>
        <w:t xml:space="preserve">§ 120 FPG enthält die folgenden Strafbestimmungen, wobei
sich die meisten Tatbestände nur an Fremde richten (Strafrahmen in
Klammer):</w:t>
      </w:r>
    </w:p>
    <w:p>
      <w:pPr>
        <w:numPr>
          <w:ilvl w:val="0"/>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Rechtswidrige Einreise und rechtswidriger Aufenthalt:
</w:t>
      </w:r>
    </w:p>
    <w:p>
      <w:pPr>
        <w:numPr>
          <w:ilvl w:val="1"/>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 Rechtswidrige Einreise in das Bundesgebiet durch
einen Fremden (EUR 100,– bis EUR 1.000,–)</w:t>
      </w:r>
    </w:p>
    <w:p>
      <w:pPr>
        <w:numPr>
          <w:ilvl w:val="1"/>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1a: Rechtswidriger Aufenthalt im Bundesgebiet durch
einen Fremden (EUR 500,– bis EUR 2.500,–); Ausnahmen
gem Abs 5 (zB wenn die Ausreise nur in ein Land möglich
wäre, in das eine Abschiebung unzulässig [§ 50 FPG] oder der
Fremde geduldet ist [46a FPG])</w:t>
      </w:r>
    </w:p>
    <w:p>
      <w:pPr>
        <w:numPr>
          <w:ilvl w:val="1"/>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1b: Verletzung der Ausreiseverpflichtung durch einen
Fremden (bis EUR 15.000,–); Ausnahmen gem Abs 5
(siehe oben)</w:t>
      </w:r>
    </w:p>
    <w:p>
      <w:pPr>
        <w:numPr>
          <w:ilvl w:val="1"/>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1c: Einreise entgegen rechtskräftigem Einreise- oder
Aufenthaltsverbot durch einen Fremden (Z 1) und rechtswidriger
Aufenthalt entgegen aufrechtem Einreise- oder Aufenthaltsverbot
nach erfolgter Ausreise durch einen Fremden (Z 2; Ausnahmen
gem Abs 5, siehe oben) (EUR 5.000,– bis
EUR 15.000,– oder Freiheitsstrafe bis zu sechs Wochen)</w:t>
      </w:r>
    </w:p>
    <w:p>
      <w:pPr>
        <w:numPr>
          <w:ilvl w:val="1"/>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liegt keine Strafbarkeit nach den genannten Bestimmungen
vor, wenn der Fremde einen Asylantrag gestellt hat und ihm der
Status des Asylberechtigten oder subsidiär Schutzberechtigten
zuerkannt wurde. Während des Asylverfahrens ist das
Verwaltungsstrafverfahren unterbrochen (Abs 7).</w:t>
      </w:r>
    </w:p>
    <w:p>
      <w:pPr>
        <w:numPr>
          <w:ilvl w:val="1"/>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Bestrafung gem Abs 1a schließt eine solche wegen
der zugleich gem Abs 1 begangenen Verwaltungsübertretung
aus. Eine Bestrafung nach Abs 1b schließt eine solche wegen
der zugleich gem Abs 1 und 1a begangenen
Verwaltungsübertretung aus; eine Bestrafung nach Abs 1c
schließt eine solche wegen der zugleich gem Abs 1 und 1a
begangenen Verwaltungsübertretungen aus; eine Bestrafung nach
Abs 1c Z 2 schließt eine solche wegen der zugleich
gem Abs 1c Z 1 begangenen Verwaltungsübertretung aus
(Abs 6).</w:t>
      </w:r>
    </w:p>
    <w:p>
      <w:pPr>
        <w:numPr>
          <w:ilvl w:val="0"/>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2: Wissentlich falsche Angaben in einem Verfahren zur
Erteilung eines Einreise- oder Aufenthaltstitels oder in einem
Asylverfahren zwecks Erschleichung eines, wenn auch nur
vorübergehenden, rechtmäßigen Aufenthalts im Bundesgebiet durch
einen Fremden (EUR 1.000,– bis 5.000,–)</w:t>
      </w:r>
    </w:p>
    <w:p>
      <w:pPr>
        <w:numPr>
          <w:ilvl w:val="0"/>
          <w:numId w:val="188134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3: Wissentliche Förderung der rechtswidrigen Einreise
und wissentliche Erleichterung des unbefugten Aufenthalts eines
Fremden in der EU zwecks Hintanhaltung aufenthaltsbeendender
Maßnahmen (EUR 1.000,– bis EUR 5.000,–); der Fremde, dem
die Tat zugute kommt, ist wegen Anstiftung oder Beihilfe ebenso
wenig strafbar wie jemand, der die Tat in Bezug auf seinen
Ehegatten (eingetragenen Partner), seine Kinder oder seine Eltern
begeht (Abs 8 und 9).</w:t>
      </w:r>
    </w:p>
    <w:p>
      <w:pPr>
        <w:widowControl w:val="on"/>
        <w:pBdr/>
        <w:spacing w:before="140" w:after="240" w:line="288" w:lineRule="auto"/>
        <w:ind w:left="0" w:right="0"/>
        <w:jc w:val="left"/>
      </w:pPr>
      <w:r>
        <w:rPr>
          <w:rFonts w:ascii="Arial" w:hAnsi="Arial" w:eastAsia="Arial" w:cs="Arial"/>
          <w:color w:val="000000"/>
          <w:sz w:val="20"/>
          <w:szCs w:val="20"/>
        </w:rPr>
        <w:t xml:space="preserve">Die Verwaltungsübertretungen wegen rechtswidriger Einreise bzw
rechtswidrigen Aufenthalts kann durch Organstrafverfügung in der
Höhe von bis zu EUR 200,– bzw EUR 500,– geahndet werden
(jeweils letzter Satz des § 120 Abs 1 und 1a FPG). Gegen
die Organstrafverfügung (§ 50 VStG) ist kein Rechtsmittel
zulässig. Unterlässt der Beanstandete die Zahlung des Strafbetrages
binnen einer Frist von zwei Wochen oder verweigert er die
Entgegennahme des Zahlungsbeleges, ist die Organstrafverfügung
gegenstandslos und Anzeige an die Behörde zu erstatten. Ist eine
Organstrafverfügung aufgrund verspäteter Einzahlung gegenstandslos
geworden, kommt dieser für das in der Folge eingeleitete
Verwaltungsstrafverfahren auch unter dem Gesichtspunkt der Höhe der
sodann festgesetzten Geldstrafe keine rechtliche Bedeutung zu (VwGH
29.01.1993, 93/17/0010).</w:t>
      </w:r>
    </w:p>
    <w:p>
      <w:pPr>
        <w:widowControl w:val="on"/>
        <w:pBdr/>
        <w:spacing w:before="140" w:after="240" w:line="288" w:lineRule="auto"/>
        <w:ind w:left="0" w:right="0"/>
        <w:jc w:val="left"/>
      </w:pPr>
      <w:r>
        <w:rPr>
          <w:rFonts w:ascii="Arial" w:hAnsi="Arial" w:eastAsia="Arial" w:cs="Arial"/>
          <w:color w:val="000000"/>
          <w:sz w:val="20"/>
          <w:szCs w:val="20"/>
        </w:rPr>
        <w:t xml:space="preserve">§ 121 FPG normiert „sonstige Übertretungen“, darunter:</w:t>
      </w:r>
    </w:p>
    <w:p>
      <w:pPr>
        <w:numPr>
          <w:ilvl w:val="0"/>
          <w:numId w:val="3240330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Verletzung der Gebietsbeschränkung oder der Meldeverpflichtung
im asylrechtlichen Zulassungsverfahren (EUR 100,– bis
EUR 1.000,–)</w:t>
      </w:r>
    </w:p>
    <w:p>
      <w:pPr>
        <w:numPr>
          <w:ilvl w:val="0"/>
          <w:numId w:val="3240330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Kein Mitführen bzw ortsnahes Verwahren des Reisedokuments
(EUR 50,– bis EUR 250,–)</w:t>
      </w:r>
    </w:p>
    <w:p>
      <w:pPr>
        <w:widowControl w:val="on"/>
        <w:pBdr/>
        <w:spacing w:before="140" w:after="240" w:line="288" w:lineRule="auto"/>
        <w:ind w:left="0" w:right="0"/>
        <w:jc w:val="left"/>
      </w:pPr>
      <w:r>
        <w:rPr>
          <w:rFonts w:ascii="Arial" w:hAnsi="Arial" w:eastAsia="Arial" w:cs="Arial"/>
          <w:color w:val="000000"/>
          <w:sz w:val="20"/>
          <w:szCs w:val="20"/>
        </w:rPr>
        <w:t xml:space="preserve">Im Fall der Uneinbringlichkeit sind Ersatzfreiheitsstrafen
vorgesehen. Weiters erhöht sich der Strafrahmen im
Wiederholungsfall.</w:t>
      </w:r>
    </w:p>
    <w:p>
      <w:pPr>
        <w:widowControl w:val="on"/>
        <w:pBdr/>
        <w:spacing w:before="140" w:after="240" w:line="288" w:lineRule="auto"/>
        <w:ind w:left="0" w:right="0"/>
        <w:jc w:val="left"/>
      </w:pPr>
      <w:r>
        <w:rPr>
          <w:rFonts w:ascii="Arial" w:hAnsi="Arial" w:eastAsia="Arial" w:cs="Arial"/>
          <w:color w:val="000000"/>
          <w:sz w:val="20"/>
          <w:szCs w:val="20"/>
        </w:rPr>
        <w:t xml:space="preserve">Subsidiarität: Eine Verwaltungsübertretung nach den §§ 120
und 121 FPG liegt nicht vor, wenn die Tat den Tatbestand einer in
die Zuständigkeit der Gerichte fallenden strafbaren Handlung bildet
(§ 122 FPG).</w:t>
      </w:r>
    </w:p>
    <w:p>
      <w:pPr>
        <w:widowControl w:val="on"/>
        <w:pBdr/>
        <w:spacing w:before="140" w:after="240" w:line="288" w:lineRule="auto"/>
        <w:ind w:left="0" w:right="0"/>
        <w:jc w:val="left"/>
      </w:pPr>
      <w:r>
        <w:rPr>
          <w:rFonts w:ascii="Arial" w:hAnsi="Arial" w:eastAsia="Arial" w:cs="Arial"/>
          <w:color w:val="000000"/>
          <w:sz w:val="20"/>
          <w:szCs w:val="20"/>
        </w:rPr>
        <w:t xml:space="preserve">Schließlich ist nach § 112 FPG ein grenzüberschreitend
tätiger Beförderungsunternehmer mit einer Geldstrafe von
EUR 5.000,– bis EUR 15.000,– zu bestrafen, wenn er</w:t>
      </w:r>
    </w:p>
    <w:p>
      <w:pPr>
        <w:numPr>
          <w:ilvl w:val="0"/>
          <w:numId w:val="5210080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Fremden ohne Reisedokument und ohne erforderliche
Berechtigung zur Einreise nach Österreich gebracht hat oder</w:t>
      </w:r>
    </w:p>
    <w:p>
      <w:pPr>
        <w:numPr>
          <w:ilvl w:val="0"/>
          <w:numId w:val="5210080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Identitäts- und Reisedaten der beförderten Personen nicht
festhält bzw der Grenzkontrollbehörde auf Anfrage nicht
übermittelt,</w:t>
      </w:r>
    </w:p>
    <w:p>
      <w:pPr>
        <w:widowControl w:val="on"/>
        <w:pBdr/>
        <w:spacing w:before="140" w:after="240" w:line="288" w:lineRule="auto"/>
        <w:ind w:left="0" w:right="0"/>
        <w:jc w:val="left"/>
      </w:pPr>
      <w:r>
        <w:rPr>
          <w:rFonts w:ascii="Arial" w:hAnsi="Arial" w:eastAsia="Arial" w:cs="Arial"/>
          <w:color w:val="000000"/>
          <w:sz w:val="20"/>
          <w:szCs w:val="20"/>
        </w:rPr>
        <w:t xml:space="preserve">es sei denn, es wird dem Fremden Asyl oder subsidiärer Schutz
gewährt oder festgestellt, dass die Abschiebung
gem §§ 45a Abs 1 oder 50 Abs 1 FPG nicht
zulässig ist.</w:t>
      </w:r>
    </w:p>
    <w:p>
      <w:pPr>
        <w:widowControl w:val="on"/>
        <w:pBdr/>
        <w:spacing w:before="140" w:after="240" w:line="288" w:lineRule="auto"/>
        <w:ind w:left="0" w:right="0"/>
        <w:jc w:val="left"/>
      </w:pPr>
      <w:r>
        <w:rPr>
          <w:rFonts w:ascii="Arial" w:hAnsi="Arial" w:eastAsia="Arial" w:cs="Arial"/>
          <w:color w:val="000000"/>
          <w:sz w:val="20"/>
          <w:szCs w:val="20"/>
        </w:rPr>
        <w:t xml:space="preserve">Über Beschwerden gegen Strafbescheide der LPD entscheidet das
LVwG (§ 9 Abs 1 FPG). Die §§ 37 bis 52 VwGVG
enthalten Sonderbestimmungen zum verwaltungsgerichtlichen Verfahren
in Verwaltungsstrafsachen. So darf die aufschiebende Wirkung der
Beschwerde nicht ausgeschlossen werden (§ 41 VwGVG);
gem § 38 VwGVG gilt weiters (unter anderem) das VStG.</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die</w:t>
      </w:r>
      <w:bookmarkStart w:id="33160410" w:name="link1"/>
      <w:bookmarkEnd w:id="33160410"/>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Landespolizeidirektion</w:t>
      </w:r>
      <w:r>
        <w:rPr>
          <w:rFonts w:ascii="Arial" w:hAnsi="Arial" w:eastAsia="Arial" w:cs="Arial"/>
          <w:color w:val="000000"/>
          <w:sz w:val="20"/>
          <w:szCs w:val="20"/>
        </w:rPr>
        <w:br/>
        <w:t xml:space="preserve">… [Adresse]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bookmarkStart w:id="51021195" w:name="link2"/>
            <w:bookmarkEnd w:id="51021195"/>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[Vorname und Nachname]</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 [Telefon/E-Mail-Adresse]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w:t>
            </w:r>
            <w:r>
              <w:rPr>
                <w:rFonts w:ascii="Arial" w:hAnsi="Arial" w:eastAsia="Arial" w:cs="Arial"/>
                <w:color w:val="000000"/>
                <w:position w:val="0"/>
                <w:sz w:val="20"/>
                <w:szCs w:val="20"/>
                <w:shd w:val="clear" w:color="auto" w:fill="FFFFFF"/>
              </w:rPr>
              <w:t xml:space="preserve">durch:</w:t>
            </w:r>
            <w:bookmarkStart w:id="96480820" w:name="link3"/>
            <w:bookmarkEnd w:id="96480820"/>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[Rechtsanwalt]</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 </w:t>
            </w:r>
            <w:r>
              <w:rPr>
                <w:rFonts w:ascii="Arial" w:hAnsi="Arial" w:eastAsia="Arial" w:cs="Arial"/>
                <w:color w:val="000000"/>
                <w:position w:val="0"/>
                <w:sz w:val="20"/>
                <w:szCs w:val="20"/>
                <w:shd w:val="clear" w:color="auto" w:fill="FFFFFF"/>
              </w:rPr>
              <w:t xml:space="preserve">Behörde:</w:t>
            </w:r>
            <w:bookmarkStart w:id="87175429" w:name="link4"/>
            <w:bookmarkEnd w:id="87175429"/>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Landespolizeidirektion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bookmarkStart w:id="15514966" w:name="link5"/>
            <w:bookmarkEnd w:id="15514966"/>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 gem Art 130 Abs 1 Z 1 B-VG gegen
den Bescheid vom … [Datum], zugestellt am … [Datum], GZ …
[Geschäftszahl]</w:t>
            </w:r>
          </w:p>
        </w:tc>
      </w:tr>
    </w:tbl>
    <w:p>
      <w:pPr>
        <w:widowControl w:val="on"/>
        <w:pBdr/>
        <w:spacing w:before="140" w:after="240" w:line="288" w:lineRule="auto"/>
        <w:ind w:left="0" w:right="0"/>
        <w:jc w:val="right"/>
      </w:pPr>
      <w:r>
        <w:rPr>
          <w:rFonts w:ascii="Arial" w:hAnsi="Arial" w:eastAsia="Arial" w:cs="Arial"/>
          <w:color w:val="000000"/>
          <w:sz w:val="20"/>
          <w:szCs w:val="20"/>
        </w:rPr>
        <w:t xml:space="preserve"> </w:t>
      </w:r>
      <w:r>
        <w:rPr>
          <w:rFonts w:ascii="Arial" w:hAnsi="Arial" w:eastAsia="Arial" w:cs="Arial"/>
          <w:color w:val="000000"/>
          <w:sz w:val="20"/>
          <w:szCs w:val="20"/>
        </w:rPr>
        <w:t xml:space="preserve">1-fach</w:t>
      </w:r>
      <w:bookmarkStart w:id="13248606" w:name="link6"/>
      <w:bookmarkEnd w:id="13248606"/>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 [Anzahl] </w:t>
      </w:r>
      <w:r>
        <w:rPr>
          <w:rFonts w:ascii="Arial" w:hAnsi="Arial" w:eastAsia="Arial" w:cs="Arial"/>
          <w:color w:val="000000"/>
          <w:sz w:val="20"/>
          <w:szCs w:val="20"/>
        </w:rPr>
        <w:t xml:space="preserve">Beilagen</w:t>
      </w:r>
      <w:bookmarkStart w:id="18881534" w:name="link7"/>
      <w:bookmarkEnd w:id="18881534"/>
      <w:hyperlink w:anchor="note7" w:history="1">
        <w:r>
          <w:rPr>
            <w:rFonts w:ascii="Arial" w:hAnsi="Arial" w:eastAsia="Arial" w:cs="Arial"/>
            <w:b/>
            <w:bCs/>
            <w:color w:val="006BB6"/>
            <w:position w:val="4"/>
            <w:sz w:val="22"/>
            <w:szCs w:val="22"/>
            <w:vertAlign w:val="superscript"/>
          </w:rPr>
          <w:t xml:space="preserve">7</w:t>
        </w:r>
      </w:hyperlink>
      <w:r>
        <w:rPr>
          <w:rFonts w:ascii="Arial" w:hAnsi="Arial" w:eastAsia="Arial" w:cs="Arial"/>
          <w:color w:val="000000"/>
          <w:sz w:val="20"/>
          <w:szCs w:val="20"/>
        </w:rPr>
        <w:br/>
        <w:t xml:space="preserve">gebührenfrei</w:t>
      </w:r>
      <w:bookmarkStart w:id="92783076" w:name="link8"/>
      <w:bookmarkEnd w:id="92783076"/>
      <w:hyperlink w:anchor="note8" w:history="1">
        <w:r>
          <w:rPr>
            <w:rFonts w:ascii="Arial" w:hAnsi="Arial" w:eastAsia="Arial" w:cs="Arial"/>
            <w:b/>
            <w:bCs/>
            <w:color w:val="006BB6"/>
            <w:position w:val="4"/>
            <w:sz w:val="22"/>
            <w:szCs w:val="22"/>
            <w:vertAlign w:val="superscript"/>
          </w:rPr>
          <w:t xml:space="preserve">8</w:t>
        </w:r>
      </w:hyperlink>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der Landespolizeidirektion vom … [Datum],
zugestellt am … [Datum], GZ … [Geschäftszahl], erhebe ich … [durch
meinen bevollmächtigten Vertreter] binnen offener Frist wegen
Rechtswidrigkeit gem Art 130 Abs 1 Z 1 B-VG
folgende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Bescheidbeschwerde</w:t>
      </w:r>
    </w:p>
    <w:p>
      <w:pPr>
        <w:widowControl w:val="on"/>
        <w:pBdr/>
        <w:spacing w:before="140" w:after="240" w:line="288" w:lineRule="auto"/>
        <w:ind w:left="0" w:right="0"/>
        <w:jc w:val="left"/>
      </w:pPr>
      <w:r>
        <w:rPr>
          <w:rFonts w:ascii="Arial" w:hAnsi="Arial" w:eastAsia="Arial" w:cs="Arial"/>
          <w:color w:val="000000"/>
          <w:sz w:val="20"/>
          <w:szCs w:val="20"/>
        </w:rPr>
        <w:t xml:space="preserve">an das Landesverwaltungsgericht … [Bundesland] wegen Verletzung
des … [durch Art/§ Gesetz]
einfachgesetzlich/verfassungsgesetzlich gewährleisteten Rechtes
[auf </w:t>
      </w:r>
      <w:r>
        <w:rPr>
          <w:rFonts w:ascii="Arial" w:hAnsi="Arial" w:eastAsia="Arial" w:cs="Arial"/>
          <w:color w:val="000000"/>
          <w:sz w:val="20"/>
          <w:szCs w:val="20"/>
        </w:rPr>
        <w:t xml:space="preserve">…].</w:t>
      </w:r>
      <w:bookmarkStart w:id="62690319" w:name="link9"/>
      <w:bookmarkEnd w:id="62690319"/>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I. </w:t>
      </w:r>
      <w:r>
        <w:rPr>
          <w:rFonts w:ascii="Arial" w:hAnsi="Arial" w:eastAsia="Arial" w:cs="Arial"/>
          <w:color w:val="000000"/>
          <w:sz w:val="20"/>
          <w:szCs w:val="20"/>
        </w:rPr>
        <w:t xml:space="preserve">Sachverhalt:</w:t>
      </w:r>
      <w:bookmarkStart w:id="51979343" w:name="link10"/>
      <w:bookmarkEnd w:id="51979343"/>
      <w:hyperlink w:anchor="note10" w:history="1">
        <w:r>
          <w:rPr>
            <w:rFonts w:ascii="Arial" w:hAnsi="Arial" w:eastAsia="Arial" w:cs="Arial"/>
            <w:b/>
            <w:bCs/>
            <w:color w:val="006BB6"/>
            <w:position w:val="4"/>
            <w:sz w:val="22"/>
            <w:szCs w:val="22"/>
            <w:vertAlign w:val="superscript"/>
          </w:rPr>
          <w:t xml:space="preserve">10</w:t>
        </w:r>
      </w:hyperlink>
    </w:p>
    <w:p>
      <w:pPr>
        <w:widowControl w:val="on"/>
        <w:pBdr/>
        <w:spacing w:before="140" w:after="240" w:line="288" w:lineRule="auto"/>
        <w:ind w:left="0" w:right="0"/>
        <w:jc w:val="left"/>
      </w:pPr>
      <w:r>
        <w:rPr>
          <w:rFonts w:ascii="Arial" w:hAnsi="Arial" w:eastAsia="Arial" w:cs="Arial"/>
          <w:color w:val="000000"/>
          <w:sz w:val="20"/>
          <w:szCs w:val="20"/>
        </w:rPr>
        <w:t xml:space="preserve">Darstellung des (insbesondere für die geltend gemachte
Rechtsverletzung) relevanten Sachverhaltes, auch neues
Sachvorbringen ist zulässig; eventuell Wiederholung von bislang
unberücksichtigt gebliebenen Beweisanboten bzw neue
Beweisanbote</w:t>
      </w:r>
    </w:p>
    <w:p>
      <w:pPr>
        <w:widowControl w:val="on"/>
        <w:pBdr/>
        <w:spacing w:before="140" w:after="240" w:line="288" w:lineRule="auto"/>
        <w:ind w:left="0" w:right="0"/>
        <w:jc w:val="left"/>
      </w:pPr>
      <w:r>
        <w:rPr>
          <w:rFonts w:ascii="Arial" w:hAnsi="Arial" w:eastAsia="Arial" w:cs="Arial"/>
          <w:color w:val="000000"/>
          <w:sz w:val="20"/>
          <w:szCs w:val="20"/>
        </w:rPr>
        <w:t xml:space="preserve">II. Ich stelle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widowControl w:val="on"/>
        <w:pBdr/>
        <w:spacing w:before="140" w:after="240" w:line="288" w:lineRule="auto"/>
        <w:ind w:left="0" w:right="0"/>
        <w:jc w:val="left"/>
      </w:pPr>
      <w:r>
        <w:rPr>
          <w:rFonts w:ascii="Arial" w:hAnsi="Arial" w:eastAsia="Arial" w:cs="Arial"/>
          <w:color w:val="000000"/>
          <w:sz w:val="20"/>
          <w:szCs w:val="20"/>
        </w:rPr>
        <w:t xml:space="preserve">das Landesverwaltungsgericht </w:t>
      </w:r>
      <w:r>
        <w:rPr>
          <w:rFonts w:ascii="Arial" w:hAnsi="Arial" w:eastAsia="Arial" w:cs="Arial"/>
          <w:color w:val="000000"/>
          <w:sz w:val="20"/>
          <w:szCs w:val="20"/>
        </w:rPr>
        <w:t xml:space="preserve">möge</w:t>
      </w:r>
      <w:bookmarkStart w:id="55804483" w:name="link11"/>
      <w:bookmarkEnd w:id="55804483"/>
      <w:hyperlink w:anchor="note11" w:history="1">
        <w:r>
          <w:rPr>
            <w:rFonts w:ascii="Arial" w:hAnsi="Arial" w:eastAsia="Arial" w:cs="Arial"/>
            <w:b/>
            <w:bCs/>
            <w:color w:val="006BB6"/>
            <w:position w:val="4"/>
            <w:sz w:val="22"/>
            <w:szCs w:val="22"/>
            <w:vertAlign w:val="superscript"/>
          </w:rPr>
          <w:t xml:space="preserve">11</w:t>
        </w:r>
      </w:hyperlink>
    </w:p>
    <w:p>
      <w:pPr>
        <w:numPr>
          <w:ilvl w:val="0"/>
          <w:numId w:val="7743623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angefochtenen Bescheid ersatzlos aufheben und das Verfahren
einstellen/in eventu die verhängte Strafe mildern,</w:t>
      </w:r>
    </w:p>
    <w:p>
      <w:pPr>
        <w:numPr>
          <w:ilvl w:val="0"/>
          <w:numId w:val="7743623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44 VwGVG eine öffentliche mündliche Verhandlung
</w:t>
      </w:r>
      <w:r>
        <w:rPr>
          <w:rFonts w:ascii="Arial" w:hAnsi="Arial" w:eastAsia="Arial" w:cs="Arial"/>
          <w:color w:val="000000"/>
          <w:sz w:val="20"/>
          <w:szCs w:val="20"/>
        </w:rPr>
        <w:t xml:space="preserve">durchführen,</w:t>
      </w:r>
      <w:bookmarkStart w:id="13741442" w:name="link12"/>
      <w:bookmarkEnd w:id="13741442"/>
      <w:hyperlink w:anchor="note12" w:history="1">
        <w:r>
          <w:rPr>
            <w:rFonts w:ascii="Arial" w:hAnsi="Arial" w:eastAsia="Arial" w:cs="Arial"/>
            <w:b/>
            <w:bCs/>
            <w:color w:val="006BB6"/>
            <w:position w:val="4"/>
            <w:sz w:val="22"/>
            <w:szCs w:val="22"/>
            <w:vertAlign w:val="superscript"/>
          </w:rPr>
          <w:t xml:space="preserve">12</w:t>
        </w:r>
      </w:hyperlink>
    </w:p>
    <w:p>
      <w:pPr>
        <w:numPr>
          <w:ilvl w:val="0"/>
          <w:numId w:val="7743623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40 VwGVG die Beigabe eines
Verfahrenshilfeverteidigers </w:t>
      </w:r>
      <w:r>
        <w:rPr>
          <w:rFonts w:ascii="Arial" w:hAnsi="Arial" w:eastAsia="Arial" w:cs="Arial"/>
          <w:color w:val="000000"/>
          <w:sz w:val="20"/>
          <w:szCs w:val="20"/>
        </w:rPr>
        <w:t xml:space="preserve">beschließen.</w:t>
      </w:r>
      <w:bookmarkStart w:id="25074248" w:name="link13"/>
      <w:bookmarkEnd w:id="25074248"/>
      <w:hyperlink w:anchor="note13" w:history="1">
        <w:r>
          <w:rPr>
            <w:rFonts w:ascii="Arial" w:hAnsi="Arial" w:eastAsia="Arial" w:cs="Arial"/>
            <w:b/>
            <w:bCs/>
            <w:color w:val="006BB6"/>
            <w:position w:val="4"/>
            <w:sz w:val="22"/>
            <w:szCs w:val="22"/>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III. Die Anträge begründe ich wie </w:t>
      </w:r>
      <w:r>
        <w:rPr>
          <w:rFonts w:ascii="Arial" w:hAnsi="Arial" w:eastAsia="Arial" w:cs="Arial"/>
          <w:color w:val="000000"/>
          <w:sz w:val="20"/>
          <w:szCs w:val="20"/>
        </w:rPr>
        <w:t xml:space="preserve">folgt:</w:t>
      </w:r>
      <w:bookmarkStart w:id="26541874" w:name="link14"/>
      <w:bookmarkEnd w:id="26541874"/>
      <w:hyperlink w:anchor="note14" w:history="1">
        <w:r>
          <w:rPr>
            <w:rFonts w:ascii="Arial" w:hAnsi="Arial" w:eastAsia="Arial" w:cs="Arial"/>
            <w:b/>
            <w:bCs/>
            <w:color w:val="006BB6"/>
            <w:position w:val="4"/>
            <w:sz w:val="22"/>
            <w:szCs w:val="22"/>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Betreffend die Zulässigkeit der Beschwerde (falls strittig):
Rechtzeitigkeit, Beschwerdelegitimation</w:t>
      </w:r>
      <w:r>
        <w:rPr>
          <w:rFonts w:ascii="Arial" w:hAnsi="Arial" w:eastAsia="Arial" w:cs="Arial"/>
          <w:color w:val="000000"/>
          <w:sz w:val="20"/>
          <w:szCs w:val="20"/>
        </w:rPr>
        <w:br/>
        <w:t xml:space="preserve">Betreffend die Begründetheit der Beschwerde: Beschwerdegründe bzw
Begründung ieS</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t xml:space="preserve">…</w:t>
      </w:r>
      <w:bookmarkStart w:id="64169813" w:name="link15"/>
      <w:bookmarkEnd w:id="64169813"/>
      <w:hyperlink w:anchor="note15" w:history="1">
        <w:r>
          <w:rPr>
            <w:rFonts w:ascii="Arial" w:hAnsi="Arial" w:eastAsia="Arial" w:cs="Arial"/>
            <w:b/>
            <w:bCs/>
            <w:color w:val="006BB6"/>
            <w:position w:val="4"/>
            <w:sz w:val="22"/>
            <w:szCs w:val="22"/>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Beschwerdeführer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690111" w:name="note1"/>
            <w:bookmarkEnd w:id="40690111"/>
            <w:bookmarkStart w:id="730875891192" w:name="note1"/>
            <w:r>
              <w:rPr>
                <w:rFonts w:ascii="Arial" w:hAnsi="Arial" w:eastAsia="Arial" w:cs="Arial"/>
                <w:b/>
                <w:bCs/>
                <w:color w:val="000000"/>
                <w:position w:val="0"/>
                <w:sz w:val="20"/>
                <w:szCs w:val="20"/>
              </w:rPr>
              <w:t xml:space="preserve">[1]</w:t>
            </w:r>
            <w:bookmarkEnd w:id="73087589119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Einbringung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ist schriftlich bei der Bescheid erlassenden
Behörde (= belangte Behörde) einzubringen (§ 12 VwGVG).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der Beschwerde erfolgt prinzipiell entweder per
Post oder durch Abgabe in der Einlaufstelle der Behörde;
hinsichtlich der Einbringung mittels E-Mail ist auf etwaige
Kundmachungen im Internet hinzuweisen (§ 11 VwGVG iVm
§ 13 Abs 1 zweiter Satz und Abs 2 AVG). Es sind
daher die diesbezüglichen auf der Internetseite der Bescheid
erlassenden Behörde enthaltenen Informationen sowie die
Rechtsmittelbelehrung des angefochtenen Bescheides zu beachten.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Vgl hierzu die Informationen zum E-Mail-Verkehr mit den LPD:</w:t>
            </w:r>
          </w:p>
          <w:p>
            <w:pPr>
              <w:widowControl w:val="on"/>
              <w:pBdr/>
              <w:spacing w:before="0" w:after="0" w:line="288" w:lineRule="auto"/>
              <w:ind w:left="0" w:right="0"/>
              <w:jc w:val="left"/>
              <w:textAlignment w:val="top"/>
            </w:pPr>
            <w:hyperlink r:id="rId70126abff84b2ca77" w:history="1">
              <w:r>
                <w:rPr>
                  <w:rFonts w:ascii="Arial" w:hAnsi="Arial" w:eastAsia="Arial" w:cs="Arial"/>
                  <w:color w:val="006BB6"/>
                  <w:position w:val="0"/>
                  <w:sz w:val="20"/>
                  <w:szCs w:val="20"/>
                </w:rPr>
                <w:t xml:space="preserve">http://www.polizei.gv.at/alle/e_mail.aspx</w:t>
              </w:r>
            </w:hyperlink>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170922" w:name="note2"/>
            <w:bookmarkEnd w:id="65170922"/>
            <w:bookmarkStart w:id="2335467530547" w:name="note2"/>
            <w:r>
              <w:rPr>
                <w:rFonts w:ascii="Arial" w:hAnsi="Arial" w:eastAsia="Arial" w:cs="Arial"/>
                <w:b/>
                <w:bCs/>
                <w:color w:val="000000"/>
                <w:position w:val="0"/>
                <w:sz w:val="20"/>
                <w:szCs w:val="20"/>
              </w:rPr>
              <w:t xml:space="preserve">[2]</w:t>
            </w:r>
            <w:bookmarkEnd w:id="233546753054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Beschwerdeführer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Beschwerdeführer ist, wer durch den Bescheid in seinen Rechten
verletzt zu sein behauptet (Art 132 Abs 1 Z 1
B-VG).</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871824" w:name="note3"/>
            <w:bookmarkEnd w:id="86871824"/>
            <w:bookmarkStart w:id="3015204572957" w:name="note3"/>
            <w:r>
              <w:rPr>
                <w:rFonts w:ascii="Arial" w:hAnsi="Arial" w:eastAsia="Arial" w:cs="Arial"/>
                <w:b/>
                <w:bCs/>
                <w:color w:val="000000"/>
                <w:position w:val="0"/>
                <w:sz w:val="20"/>
                <w:szCs w:val="20"/>
              </w:rPr>
              <w:t xml:space="preserve">[3]</w:t>
            </w:r>
            <w:bookmarkEnd w:id="301520457295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den Verwaltungsgerichten besteht kein
Anwaltszwang. Selbstverständlich besteht aber die Möglichkeit, sich
vertreten zu lassen, wobei für den Fall, dass eine zur
berufsmäßigen Parteienvertretung befugte Person (insbesondere ein
Rechtsanwalt) einschreitet, die Berufung auf die erteilte Vollmacht
deren sonst erforderlichen urkundlichen Nachweis ersetzt (§ 10
Abs 1 letzter Satz AVG); diesfalls ist eine schriftliche
Vollmacht entbehrlich.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Berufung auf die Vollmacht gem § 10 Abs 1
letzter Satz AVG kann etwa durch die Klausel „Vollmacht erteilt“
auf einem Schriftsatz oder dadurch erfolgen, dass ein Rechtsmittel
„namens und auftrags meiner Mandantschaft“ eingebracht wird (VwGH
28.05.2013, 2012/05/0157 [VwSlg 18.637 A/2013]; VwGH 24.07.2018, Ra
2018/08/0074).</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493013" w:name="note4"/>
            <w:bookmarkEnd w:id="11493013"/>
            <w:bookmarkStart w:id="6604363375191" w:name="note4"/>
            <w:r>
              <w:rPr>
                <w:rFonts w:ascii="Arial" w:hAnsi="Arial" w:eastAsia="Arial" w:cs="Arial"/>
                <w:b/>
                <w:bCs/>
                <w:color w:val="000000"/>
                <w:position w:val="0"/>
                <w:sz w:val="20"/>
                <w:szCs w:val="20"/>
              </w:rPr>
              <w:t xml:space="preserve">[4]</w:t>
            </w:r>
            <w:bookmarkEnd w:id="660436337519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Belangte Behörde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Belangte Behörde ist die jeweilige LPD (§ 5 Abs 1
Z 3 und 4 FPG). Zu beachten ist, dass auch die belangte
Behörde – neben dem Beschwerdeführer – Partei des Verfahrens vor
dem Verwaltungsgericht ist (§ 18 VwGVG).</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506889" w:name="note5"/>
            <w:bookmarkEnd w:id="27506889"/>
            <w:bookmarkStart w:id="7783921973056" w:name="note5"/>
            <w:r>
              <w:rPr>
                <w:rFonts w:ascii="Arial" w:hAnsi="Arial" w:eastAsia="Arial" w:cs="Arial"/>
                <w:b/>
                <w:bCs/>
                <w:color w:val="000000"/>
                <w:position w:val="0"/>
                <w:sz w:val="20"/>
                <w:szCs w:val="20"/>
              </w:rPr>
              <w:t xml:space="preserve">[5]</w:t>
            </w:r>
            <w:bookmarkEnd w:id="778392197305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verwaltungsgerichtlichen Verfahrens ist der
angefochtene Bescheid, welcher – abgesehen von der bereits
erfolgten Nennung der belangten Behörde – durch Angabe des
Bescheiddatums, des Datums der Zustellung und der Geschäftszahl
hinreichend zu konkretisieren ist. Zugleich handelt es sich hierbei
um die Angaben, die erforderlich sind, um zu beurteilen, ob die
Beschwerde rechtzeitig eingebracht ist (§ 9 Abs 1
Z 5 VwGVG).</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605771" w:name="note6"/>
            <w:bookmarkEnd w:id="82605771"/>
            <w:bookmarkStart w:id="6627313799955" w:name="note6"/>
            <w:r>
              <w:rPr>
                <w:rFonts w:ascii="Arial" w:hAnsi="Arial" w:eastAsia="Arial" w:cs="Arial"/>
                <w:b/>
                <w:bCs/>
                <w:color w:val="000000"/>
                <w:position w:val="0"/>
                <w:sz w:val="20"/>
                <w:szCs w:val="20"/>
              </w:rPr>
              <w:t xml:space="preserve">[6]</w:t>
            </w:r>
            <w:bookmarkEnd w:id="662731379995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Einfache Ausfertigung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den Verwaltungsgerichten sind Schriftsätze samt Beilagen nur
in einfacher Ausfertigung erforderlich.</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954845" w:name="note7"/>
            <w:bookmarkEnd w:id="38954845"/>
            <w:bookmarkStart w:id="5537306822550" w:name="note7"/>
            <w:r>
              <w:rPr>
                <w:rFonts w:ascii="Arial" w:hAnsi="Arial" w:eastAsia="Arial" w:cs="Arial"/>
                <w:b/>
                <w:bCs/>
                <w:color w:val="000000"/>
                <w:position w:val="0"/>
                <w:sz w:val="20"/>
                <w:szCs w:val="20"/>
              </w:rPr>
              <w:t xml:space="preserve">[7]</w:t>
            </w:r>
            <w:bookmarkEnd w:id="553730682255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Beilagen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die Anzahl allfälliger Beilagen anzugeben. Der
angefochtene Bescheid muss der Beschwerde nicht beigelegt
werden.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222984" w:name="note8"/>
            <w:bookmarkEnd w:id="82222984"/>
            <w:bookmarkStart w:id="3034657824225" w:name="note8"/>
            <w:r>
              <w:rPr>
                <w:rFonts w:ascii="Arial" w:hAnsi="Arial" w:eastAsia="Arial" w:cs="Arial"/>
                <w:b/>
                <w:bCs/>
                <w:color w:val="000000"/>
                <w:position w:val="0"/>
                <w:sz w:val="20"/>
                <w:szCs w:val="20"/>
              </w:rPr>
              <w:t xml:space="preserve">[8]</w:t>
            </w:r>
            <w:bookmarkEnd w:id="303465782422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Eingabengebühr und Kosten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Verwaltungsstrafverfahren besteht zwar einerseits
Gebührenfreiheit (§ 14 TP 6 Abs 5 Z 7
Gebührengesetz), andererseits kommt es im Fall der Bestätigung des
angefochtenen Bescheides zur Vorschreibung eines Kostenbeitrages
(§ 52 VwGVG). Dieser beträgt 20 % der verhängten Strafe
(mindestens EUR 10,–).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52 Abs 8 VwGVG sind dem Beschwerdeführer die
Kosten des Beschwerdeverfahrens nicht aufzuerlegen, wenn der
Beschwerde auch nur teilweise Folge gegeben worden ist. Allerdings
führt der Erfolg einer Beschwerde hinsichtlich einer von mehreren
in einem Straferkenntnis geahndeten Verwaltungsübertretungen nach
der Rechtsprechung nicht zur Anwendung des § 52 Abs 8
VwGVG auch hinsichtlich der übrigen Verwaltungsübertretungen (VwGH
17.12.2019, Ra 2019/04/0121; VwGH 25.04.2022, Ra 2021/11/0018).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52 Abs 8 VwGVG gilt nur dann, wenn das
Verwaltungsgericht eine Änderung des Straferkenntnisses „zugunsten“
des Bestraften vornimmt, also entweder die Strafe herabsetzt (in
eine mildere umwandelt) oder ganz nachsieht oder wenigstens der von
der Strafbehörde angenommene strafbare Tatbestand eingeschränkt
worden ist. Die genannte Bestimmung greift dann nicht, wenn das
Verwaltungsgericht bloß eine rechtliche Qualifikation der Tat oder
der Strafbestimmung ändert (VwGH 12.02.2019, Ra 2019/16/0015; VwGH
01.09.2022, Ra 2022/03/0198).</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367254" w:name="note9"/>
            <w:bookmarkEnd w:id="73367254"/>
            <w:bookmarkStart w:id="8811168700683" w:name="note9"/>
            <w:r>
              <w:rPr>
                <w:rFonts w:ascii="Arial" w:hAnsi="Arial" w:eastAsia="Arial" w:cs="Arial"/>
                <w:b/>
                <w:bCs/>
                <w:color w:val="000000"/>
                <w:position w:val="0"/>
                <w:sz w:val="20"/>
                <w:szCs w:val="20"/>
              </w:rPr>
              <w:t xml:space="preserve">[9]</w:t>
            </w:r>
            <w:bookmarkEnd w:id="881116870068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Beschwerdepunkte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 anders als nach § 28 Abs 1 Z 4 VwGG –
nicht ausdrücklich gesetzlich gefordert, können an dieser Stelle
die Beschwerdepunkte angeführt werden. Zu beachten ist, dass sich
Rechtsverletzungen (iSd Art 132 Abs 1 Z 1 B-VG) nur
auf subjektiv-öffentliche Rechte – einfachgesetzlich oder
verfassungsgesetzlich gewährleistet – beziehen können (vgl VwGH
26.03.2015, Ra 2014/07/0077 [VwSlg 19.092 A/2015]; VwGH 06.10.2023,
Ra 2022/11/0129).</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120 Abs 1 iVm
Abs 7 FPG gewährleisteten Rechtes, wegen rechtswidriger
Einreise nicht bestraft zu werden, wenn ein Antrag auf
internationalen Schutz gestellt und der Status des Asylberechtigten
oder subsidiär Schutzberechtigten zuerkannt wurde.“</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44a VStG gewährleisteten
Rechtes, die als erwiesen angenommene Tat und die verletzte
Verwaltungsvorschrift nach der Rechtsprechung des
Verwaltungsgerichtshofes richtig und vollständig vorzuhalten,
sodass die Identität der Tat unverwechselbar feststeht.“</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497263" w:name="note10"/>
            <w:bookmarkEnd w:id="49497263"/>
            <w:bookmarkStart w:id="9967941105126" w:name="note10"/>
            <w:r>
              <w:rPr>
                <w:rFonts w:ascii="Arial" w:hAnsi="Arial" w:eastAsia="Arial" w:cs="Arial"/>
                <w:b/>
                <w:bCs/>
                <w:color w:val="000000"/>
                <w:position w:val="0"/>
                <w:sz w:val="20"/>
                <w:szCs w:val="20"/>
              </w:rPr>
              <w:t xml:space="preserve">[10]</w:t>
            </w:r>
            <w:bookmarkEnd w:id="996794110512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Sachverhalt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Wenngleich die Schilderung des Sachverhaltes gesetzlich nicht
vorgeschrieben ist, wird es zweckmäßig sein, dem Gericht den
Sachverhalt aus der Perspektive des Beschwerdeführers
näherzubringen.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dem Verwaltungsgericht besteht kein
Neuerungsverbot (§ 10 VwGVG; vgl VwGH 19.12.2018, Ra
2018/08/0210). Es können daher auch neue Tatsachen (erstmals)
vorgebracht werden. Entsprechend hierzu können auch neue
Beweisanbote erfolgen bzw solche Beweisanbote wiederholt werden,
die im vorangegangenen Verwaltungsverfahren unberücksichtigt
geblieben sind. Ein Beweisantrag hat das Beweisthema (die zu
beweisende Tatsache) und ein Beweismittel (zB Urkunden-,
Sachverständigen- oder Zeugenbeweis) zu enthalten.</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986867" w:name="note11"/>
            <w:bookmarkEnd w:id="80986867"/>
            <w:bookmarkStart w:id="8078295757465" w:name="note11"/>
            <w:r>
              <w:rPr>
                <w:rFonts w:ascii="Arial" w:hAnsi="Arial" w:eastAsia="Arial" w:cs="Arial"/>
                <w:b/>
                <w:bCs/>
                <w:color w:val="000000"/>
                <w:position w:val="0"/>
                <w:sz w:val="20"/>
                <w:szCs w:val="20"/>
              </w:rPr>
              <w:t xml:space="preserve">[11]</w:t>
            </w:r>
            <w:bookmarkEnd w:id="807829575746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Beschwerdebegehren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muss ein bestimmtes Begehren enthalten (§ 9
Abs 1 Z 4 VwGVG).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die Einschränkung der Beschwerde auf die Bekämpfung der
Strafhöhe ist „Sache“ des beim VwG anhängigen Verfahrens nur mehr
die Straffrage; der Tatvorwurf – und somit auch die Frage der
Verjährung desselben – ist hingegen nicht mehr „Sache“ des
Verfahrens vor dem VwG (vgl VwGH 29.06.2023, Ra 2023/04/0050).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die Beschwerde nicht zurückzuweisen oder das Verfahren
einzustellen ist, hat das Verwaltungsgericht über Parteibeschwerden
in Verwaltungsstrafsachen auf jeden Fall in der Sache selbst zu
entscheiden (Art 130 Abs 4 erster Satz B-VG und § 50
VwGVG); Raum für eine kassatorische Entscheidung bleibt folglich
nicht. Hieraus folgt, dass in Verwaltungsstrafverfahren dem
Verwaltungsgericht in jedem Fall auch die Befugnis und
Verpflichtung zu allenfalls erforderlichen
Sachverhaltsfeststellungen zukommt (VwGH 15.12.2014, Ro
2014/17/0121 [VwSlg 18.994 A/2014]; VwGH 12.07.2021, Ra
2020/17/0022).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Verwaltungsstrafverfahrens ist die dem Beschuldigten
innerhalb der Verjährungsfrist zur Last gelegte Tat mit ihren
wesentlichen Sachverhaltselementen, unabhängig von ihrer
rechtlichen Beurteilung. Ein Austausch der Tat durch das VwG durch
Heranziehung eines anderen als des ursprünglich der Bestrafung
zugrunde gelegten Sachverhaltes kommt daher nicht in Betracht (VwGH
25.09.2018, Ra 2018/05/0019; VwGH 08.03.2023, Ra 2022/03/0103).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Beschwerdebegehren (§ 9 Abs 1 Z 4 VwGVG)
bedeutet keine Einengung des Prüfungsumfanges des
Verwaltungsgerichtes (VwGH 06.04.2016, Ro 2015/03/0026 [VwSlg
19.339 A/2016]). In dieselbe Richtung weisend VwGH 16.03.2016, Ra
2015/04/0042; VwGH 24.04.2018, Ra 2017/17/0895: von einem
Beschwerdeführer kann nicht erwartet werden, dass er in seiner
Beschwerde sämtliche rechtlichen Angriffspunkte aufzeigt. Ebenso
wenig kann davon ausgegangen werden, dass der Gesetzgeber den
Prüfungsumfang ausschließlich an das Vorbringen des
Beschwerdeführers binden wollte. Die Prüfungsbefugnis der VwG ist
aber keine unbegrenzte. Der äußerste Rahmen für die Prüfbefugnis
ist die „Sache“ des bekämpften Bescheides.</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890485" w:name="note12"/>
            <w:bookmarkEnd w:id="25890485"/>
            <w:bookmarkStart w:id="5310560491667" w:name="note12"/>
            <w:r>
              <w:rPr>
                <w:rFonts w:ascii="Arial" w:hAnsi="Arial" w:eastAsia="Arial" w:cs="Arial"/>
                <w:b/>
                <w:bCs/>
                <w:color w:val="000000"/>
                <w:position w:val="0"/>
                <w:sz w:val="20"/>
                <w:szCs w:val="20"/>
              </w:rPr>
              <w:t xml:space="preserve">[12]</w:t>
            </w:r>
            <w:bookmarkEnd w:id="531056049166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Öffentliche mündliche Verhandlung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Durchführung der Verhandlung ist bereits in der Beschwerde
(bzw im Vorlageantrag) zu beantragen (§ 44 VwGVG).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 44 Abs 1 VwGVG ist grundsätzlich eine
öffentliche mündliche Verhandlung durchzuführen. In den Abs 2
bis 5 leg cit finden sich zulässige Ausnahmen von der
Verhandlungspflicht (zuletzt VwGH 13.10.2023, Ra 2023/02/0063). Im
Übrigen kann die zu § 51e VStG ergangene Rechtsprechung auf
§ 44 VwGVG übertragen werden (VwGH 20.04.2016, Ra
2015/04/0016; VwGH 24.09.2019, Ra 2017/06/0091).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Unterlassung eines Antrages auf Durchführung einer
mündlichen Verhandlung kann zwar als (schlüssiger) Verzicht auf
eine solche gewertet werden, vom Vorliegen eines schlüssigen
Verzichts kann aber insbesondere dann nicht ausgegangen werden,
wenn eine unvertretene Partei weder über die Möglichkeit einer
Antragstellung belehrt wurde noch Anhaltspunkte dafür bestehen,
dass sie von dieser Möglichkeit hätte wissen müssen (VwGH
22.03.2021, Ra 2020/17/0132; VwGH 27.02.2023, Ra 2022/12/0178).</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562179" w:name="note13"/>
            <w:bookmarkEnd w:id="38562179"/>
            <w:bookmarkStart w:id="144169757687" w:name="note13"/>
            <w:r>
              <w:rPr>
                <w:rFonts w:ascii="Arial" w:hAnsi="Arial" w:eastAsia="Arial" w:cs="Arial"/>
                <w:b/>
                <w:bCs/>
                <w:color w:val="000000"/>
                <w:position w:val="0"/>
                <w:sz w:val="20"/>
                <w:szCs w:val="20"/>
              </w:rPr>
              <w:t xml:space="preserve">[13]</w:t>
            </w:r>
            <w:bookmarkEnd w:id="14416975768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Verfahrenshilfeverteidiger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Verwaltungsstrafverfahren ist die Beigabe eines
Verfahrenshilfeverteidigers auf Antrag möglich (§ 40 iVm
§ 8a Abs 3 bis 10 VwGVG). (Vom Beschwerdeführer
darzutuende) Voraussetzungen sind, dass</w:t>
            </w:r>
          </w:p>
          <w:p>
            <w:pPr>
              <w:numPr>
                <w:ilvl w:val="0"/>
                <w:numId w:val="46400690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Beschuldigte außerstande ist, die Kosten der Verteidigung
ohne Beeinträchtigung des notwendigen Unterhalts zu bestreiten,
und</w:t>
            </w:r>
          </w:p>
          <w:p>
            <w:pPr>
              <w:numPr>
                <w:ilvl w:val="0"/>
                <w:numId w:val="46400690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dies im Interesse der Rechtspflege, vor allem im Interesse
einer zweckentsprechenden Verteidigung, erforderlich und aufgrund
des Art 6 Abs 1 und Abs 3 lit c EMRK oder des
Art 47 EU-Grundrechte-Charta geboten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notwendiger Unterhalt ist ein zwischen dem „notdürftigen“
und dem „standesgemäßen“ Unterhalt liegender anzusehen, der
abstrakt zwischen dem statistischen Durchschnittseinkommen eines
unselbstständig Erwerbstätigen und dem „Existenzminimum“ liegt und
eine die Bedürfnisse des Einzelnen berücksichtigende bescheidene
Lebensführung gestattet (VwGH 18.05.2016, Ra 2016/04/0041).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Beurteilung der Interessen der Rechtspflege ist vor
allem auf die zweckentsprechende Verteidigung Bedacht zu nehmen.
Als Gründe für die Beigebung eines Verteidigers sind besondere
Schwierigkeiten der Sachlage oder Rechtslage, besondere persönliche
Umstände des Beschuldigten und die besondere Tragweite des
Rechtsfalles für die Partei (wie etwa die Höhe der dem
Beschuldigten drohenden Strafe) zu berücksichtigen, wobei die
Beigabe eines Verfahrenshelfers nur dann vorgesehen ist, wenn beide
in § 40 Abs 1 VwGVG genannten Voraussetzungen
(Beeinträchtigung des notwendigen Unterhaltes, Interesse der
Rechtspflege) kumulativ vorliegen (VwGH 25.09.2018, Ra
2018/05/0227).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Beigebung eines Verteidigers kann schriftlich
oder mündlich gestellt werden. Er ist ab Erlassung des Bescheides
bis zur Vorlage der Beschwerde bei der Behörde, ab Vorlage beim
Verwaltungsgericht einzubringen; ein ab Vorlage vor Zustellung der
Mitteilung über deren Vorlage an das Verwaltungsgericht bei der
Behörde gestellter Antrag gilt als beim Verwaltungsgericht gestellt
und ist diesem unverzüglich vorzulegen.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kann ab Erlassung des Bescheides – im Rahmen der
Beschwerde selbst oder losgelöst von dieser – gestellt werden. Hat
die Partei innerhalb der Beschwerdefrist die Bewilligung der
Verfahrenshilfe beantragt, so beginnt für sie die Beschwerdefrist
mit dem Zeitpunkt zu laufen, in dem der Beschluss über die
Bestellung des Rechtsanwalts zum Vertreter und der anzufechtende
Bescheid diesem zugestellt sind. Wird der rechtzeitig gestellte
Antrag abgewiesen, so beginnt die Beschwerdefrist mit der
Zustellung des abweisenden Beschlusses an die Partei zu laufen.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dem Antrag ist die jeweilige Strafsache bestimmt zu
bezeichnen. Wünschen des Beschuldigten zur Auswahl der Person des
Verteidigers ist im Einvernehmen mit dem namhaft gemachten
Rechtsanwalt nach Möglichkeit zu entsprechen. Die endgültige
Aufwandstragung obliegt (unabhängig vom Verfahrensausgang) dem
Bund/Land.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 für einen Antrag samt Vermögensbekenntnis:</w:t>
            </w:r>
          </w:p>
          <w:p>
            <w:pPr>
              <w:widowControl w:val="on"/>
              <w:pBdr/>
              <w:spacing w:before="0" w:after="0" w:line="288" w:lineRule="auto"/>
              <w:ind w:left="0" w:right="0"/>
              <w:jc w:val="left"/>
              <w:textAlignment w:val="top"/>
            </w:pPr>
            <w:hyperlink r:id="rId87406abff84b2d553" w:history="1">
              <w:r>
                <w:rPr>
                  <w:rFonts w:ascii="Arial" w:hAnsi="Arial" w:eastAsia="Arial" w:cs="Arial"/>
                  <w:color w:val="006BB6"/>
                  <w:position w:val="0"/>
                  <w:sz w:val="20"/>
                  <w:szCs w:val="20"/>
                </w:rPr>
                <w:t xml:space="preserve">http://www.lvwg-stmk.gv.at/cms/beitrag/11953409/104536725</w:t>
              </w:r>
            </w:hyperlink>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410821" w:name="note14"/>
            <w:bookmarkEnd w:id="65410821"/>
            <w:bookmarkStart w:id="1393747107164" w:name="note14"/>
            <w:r>
              <w:rPr>
                <w:rFonts w:ascii="Arial" w:hAnsi="Arial" w:eastAsia="Arial" w:cs="Arial"/>
                <w:b/>
                <w:bCs/>
                <w:color w:val="000000"/>
                <w:position w:val="0"/>
                <w:sz w:val="20"/>
                <w:szCs w:val="20"/>
              </w:rPr>
              <w:t xml:space="preserve">[14]</w:t>
            </w:r>
            <w:bookmarkEnd w:id="139374710716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Beschwerdegründe – Beispiele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sind die Beschwerdegründe anzugeben (§ 9 Abs 1
Z 3 VwGVG), also die Begründung der Rechtswidrigkeit des
angefochtenen Verwaltungsaktes infolge Verfahrensfehler,
materieller Rechtswidrigkeit oder Unzuständigkeit (VwGH 13.09.2017,
Ra 2016/12/0053). Der Prüfungsumfang ist allerdings nicht
ausschließlich an das Vorbringen des Beschwerdeführers gebunden
(VwGH 24.04.2018, Ra 2017/17/0895).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Beispiele für (mögliche, tatsächliche und vermeintliche)
Rechtsverletzungen und ihre Begründungen: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Bestrafung gem § 120 Abs 1a erster Satz FPG
knüpft allein an das Vorliegen eines unrechtmäßigen Aufenthalts an
(VwGH 29.05.2018, Ra 2018/21/0010).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Wurde das Asylverfahren des Fremden, dem gem § 12
Abs 1 erster Halbsatz AsylG weiterhin faktischer
Abschiebeschutz zukam, iSd § 24 Abs 2 zweiter Satz AsylG
(von Amts wegen) fortgesetzt, war sein Aufenthalt
gem § 13 Abs 1 erster Satz AsylG (wieder)
rechtmäßig. Ausgehend davon wäre aber die Bestrafung des Fremden
wegen unrechtmäßigen Aufenthalts zu einem fünf Minuten davor
gelegenen Zeitpunkt, in dem die von Gesetzes wegen gebotene
amtswegige Fortsetzung des Asylverfahrens unmittelbar bevorstand,
nicht in Betracht gekommen, weil ihm jedenfalls zu diesem Zeitpunkt
die Unrechtmäßigkeit seines Aufenthalts aufgrund der Verwirklichung
eines Einstellungsgrundes nicht mehr zum Vorwurf gemacht werden
durfte (VwGH 20.12.2018, Ra 2018/21/0218).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den Fall, dass zum Tatzeitpunkt noch keine (rechtskräftige)
aufenthaltsbeendende Maßnahme erlassen wurde, ist von der
Strafbehörde im Rahmen einer Vorfragenbeurteilung selbst die
gebotene Interessenabwägung iSd Art 8 EMRK unter dem
Gesichtspunkt der (hypothetischen) Zulässigkeit einer
aufenthaltsbeendenden Maßnahme vorzunehmen. Ergibt sich dabei, dass
eine aufenthaltsbeendende Maßnahme gegen den Fremden im Tatzeitraum
nicht gerechtfertigt gewesen wäre, so wirkt sich dies im Ergebnis
auch auf die Strafbarkeit des rechtswidrigen Aufenthaltes
gem § 120 Abs 1a FPG aus (Strafausschließungsgrund
nach § 6 VStG) (VwGH 23.03.2017, Ra 2016/21/0199; VwGH
19.09.2019, Ra 2019/21/0184; konkret im Fall von Ra 2016/21/0199
war die Trennung von einem österreichischen oder in Österreich
dauerhaft niedergelassenen Ehepartner allein wegen eines
unrechtmäßigen Aufenthaltes nicht verhältnismäßig. Eine solche
Trennung ist nur dann gerechtfertigt, wenn dem öffentlichen
Interesse an der Vornahme einer aufenthaltsbeendenden Maßnahme
insgesamt ein sehr großes Gewicht beizumessen ist, wie etwa bei
Straffälligkeit oder bei einer von Anfang an beabsichtigten
Umgehung der Regelungen über eine geordnete Zuwanderung und den
Familiennachzug).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VwGH-Judikatur zur </w:t>
            </w:r>
            <w:r>
              <w:rPr>
                <w:rFonts w:ascii="Arial" w:hAnsi="Arial" w:eastAsia="Arial" w:cs="Arial"/>
                <w:b/>
                <w:bCs/>
                <w:color w:val="000000"/>
                <w:position w:val="0"/>
                <w:sz w:val="20"/>
                <w:szCs w:val="20"/>
              </w:rPr>
              <w:t xml:space="preserve">Interessenabwägung
gem Art 8 EMRK</w:t>
            </w:r>
            <w:r>
              <w:rPr>
                <w:rFonts w:ascii="Arial" w:hAnsi="Arial" w:eastAsia="Arial" w:cs="Arial"/>
                <w:color w:val="000000"/>
                <w:position w:val="0"/>
                <w:sz w:val="20"/>
                <w:szCs w:val="20"/>
              </w:rPr>
              <w:t xml:space="preserve"> geht bei einem mehr als zehn
Jahre dauernden inländischen Aufenthalt des Fremden regelmäßig von
einem Überwiegen der persönlichen Interessen an einem Verbleib in
Österreich aus. Nur dann, wenn der Fremde die in Österreich
verbrachte Zeit überhaupt nicht genützt hatte, um sich sozial und
beruflich zu integrieren, wurden etwa Aufenthaltsbeendigungen
ausnahmsweise auch nach so langem Inlandsaufenthalt noch für
verhältnismäßig angesehen. Diese Rechtsprechung ist auch für die
Beurteilung der Strafbarkeit wegen unrechtmäßigen Aufenthalts
relevant (LVwG Wien 08.03.2016, VGW-051/055/435/2016).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Strafbarkeit nach § 120 Abs 1b FPG setzt voraus,
dass der Ausreisepflicht aus vom Fremden zu vertretenden Gründen
nicht nachgekommen wurde. (…) In diesem Zusammenhang wäre bezogen
auf den angenommenen Tatzeitpunkt auch darauf Bedacht zu nehmen
gewesen, dass die Fremde </w:t>
            </w:r>
            <w:r>
              <w:rPr>
                <w:rFonts w:ascii="Arial" w:hAnsi="Arial" w:eastAsia="Arial" w:cs="Arial"/>
                <w:b/>
                <w:bCs/>
                <w:color w:val="000000"/>
                <w:position w:val="0"/>
                <w:sz w:val="20"/>
                <w:szCs w:val="20"/>
              </w:rPr>
              <w:t xml:space="preserve">beabsichtigte, Rechtsbehelfe bei
den Gerichtshöfen des öffentlichen Rechts</w:t>
            </w:r>
            <w:r>
              <w:rPr>
                <w:rFonts w:ascii="Arial" w:hAnsi="Arial" w:eastAsia="Arial" w:cs="Arial"/>
                <w:color w:val="000000"/>
                <w:position w:val="0"/>
                <w:sz w:val="20"/>
                <w:szCs w:val="20"/>
              </w:rPr>
              <w:t xml:space="preserve"> zur Bekämpfung
der aus ihrer Sicht zu Unrecht vorgenommenen Abweisung ihrer
Anträge auf internationalen Schutz und Erlassung einer
Rückkehrentscheidung </w:t>
            </w:r>
            <w:r>
              <w:rPr>
                <w:rFonts w:ascii="Arial" w:hAnsi="Arial" w:eastAsia="Arial" w:cs="Arial"/>
                <w:b/>
                <w:bCs/>
                <w:color w:val="000000"/>
                <w:position w:val="0"/>
                <w:sz w:val="20"/>
                <w:szCs w:val="20"/>
              </w:rPr>
              <w:t xml:space="preserve">zu ergreifen</w:t>
            </w:r>
            <w:r>
              <w:rPr>
                <w:rFonts w:ascii="Arial" w:hAnsi="Arial" w:eastAsia="Arial" w:cs="Arial"/>
                <w:color w:val="000000"/>
                <w:position w:val="0"/>
                <w:sz w:val="20"/>
                <w:szCs w:val="20"/>
              </w:rPr>
              <w:t xml:space="preserve">. Der VwGH hat
diesbezüglich – wenn auch im Zusammenhang mit einem auf die
Nichtausreise gestützten Einreiseverbot – aber schon ausgesprochen,
dass unter diesen Umständen die </w:t>
            </w:r>
            <w:r>
              <w:rPr>
                <w:rFonts w:ascii="Arial" w:hAnsi="Arial" w:eastAsia="Arial" w:cs="Arial"/>
                <w:b/>
                <w:bCs/>
                <w:color w:val="000000"/>
                <w:position w:val="0"/>
                <w:sz w:val="20"/>
                <w:szCs w:val="20"/>
              </w:rPr>
              <w:t xml:space="preserve">Nichtbefolgung der
Ausreisepflicht relativiert</w:t>
            </w:r>
            <w:r>
              <w:rPr>
                <w:rFonts w:ascii="Arial" w:hAnsi="Arial" w:eastAsia="Arial" w:cs="Arial"/>
                <w:color w:val="000000"/>
                <w:position w:val="0"/>
                <w:sz w:val="20"/>
                <w:szCs w:val="20"/>
              </w:rPr>
              <w:t xml:space="preserve"> sein kann (…). Die
(beabsichtigte) Erhebung einer Beschwerde an den VfGH und ihre
(spätere) Erfolglosigkeit berechtigten das VwG jedenfalls für sich
genommen noch nicht zu der Annahme, die Fremde sei nicht gewillt,
die rechtskräftige Rückkehrentscheidung zu akzeptieren, und sie sei
deshalb der Rückkehrverpflichtung aus von ihr zu vertretenden
Gründen nicht nachgekommen (VwGH 22.01.2021, Ra 2020/21/0271).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121 Abs 3 Z 2 FPG soll lediglich die Verletzung
der sich aus § 32 Abs 2 FPG ergebenden Verpflichtung, als
Fremder sein </w:t>
            </w:r>
            <w:r>
              <w:rPr>
                <w:rFonts w:ascii="Arial" w:hAnsi="Arial" w:eastAsia="Arial" w:cs="Arial"/>
                <w:b/>
                <w:bCs/>
                <w:color w:val="000000"/>
                <w:position w:val="0"/>
                <w:sz w:val="20"/>
                <w:szCs w:val="20"/>
              </w:rPr>
              <w:t xml:space="preserve">Reisedokument mit sich zu führen</w:t>
            </w:r>
            <w:r>
              <w:rPr>
                <w:rFonts w:ascii="Arial" w:hAnsi="Arial" w:eastAsia="Arial" w:cs="Arial"/>
                <w:color w:val="000000"/>
                <w:position w:val="0"/>
                <w:sz w:val="20"/>
                <w:szCs w:val="20"/>
              </w:rPr>
              <w:t xml:space="preserve"> (…),
sanktionieren. Eine Bestrafung deshalb, weil der Fremde es
unterlassen hat, Versuche zur Erlangung eines Reisedokuments zu
unternehmen, kommt daher nicht in Betracht. Auch eine Bestrafung
nach § 121 Abs 3 Z 3 FPG kommt nur infrage, wenn es
das für die Aufenthaltsberechtigung maßgebliche Dokument überhaupt
gibt (VwGH 20.02.2014, 2013/21/0204 [VwSlg 18.787 A/2014]).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angeführten Beschwerde machte der Revisionswerber den
Strafausschließungsgrund nach § 120 Abs 5 Z 2 FPG
geltend. Demnach liegt eine </w:t>
            </w:r>
            <w:r>
              <w:rPr>
                <w:rFonts w:ascii="Arial" w:hAnsi="Arial" w:eastAsia="Arial" w:cs="Arial"/>
                <w:b/>
                <w:bCs/>
                <w:color w:val="000000"/>
                <w:position w:val="0"/>
                <w:sz w:val="20"/>
                <w:szCs w:val="20"/>
              </w:rPr>
              <w:t xml:space="preserve">Verwaltungsübertretung</w:t>
            </w:r>
            <w:r>
              <w:rPr>
                <w:rFonts w:ascii="Arial" w:hAnsi="Arial" w:eastAsia="Arial" w:cs="Arial"/>
                <w:color w:val="000000"/>
                <w:position w:val="0"/>
                <w:sz w:val="20"/>
                <w:szCs w:val="20"/>
              </w:rPr>
              <w:t xml:space="preserve">
unter anderem </w:t>
            </w:r>
            <w:r>
              <w:rPr>
                <w:rFonts w:ascii="Arial" w:hAnsi="Arial" w:eastAsia="Arial" w:cs="Arial"/>
                <w:b/>
                <w:bCs/>
                <w:color w:val="000000"/>
                <w:position w:val="0"/>
                <w:sz w:val="20"/>
                <w:szCs w:val="20"/>
              </w:rPr>
              <w:t xml:space="preserve">nicht vor</w:t>
            </w:r>
            <w:r>
              <w:rPr>
                <w:rFonts w:ascii="Arial" w:hAnsi="Arial" w:eastAsia="Arial" w:cs="Arial"/>
                <w:color w:val="000000"/>
                <w:position w:val="0"/>
                <w:sz w:val="20"/>
                <w:szCs w:val="20"/>
              </w:rPr>
              <w:t xml:space="preserve">, solange der
</w:t>
            </w:r>
            <w:r>
              <w:rPr>
                <w:rFonts w:ascii="Arial" w:hAnsi="Arial" w:eastAsia="Arial" w:cs="Arial"/>
                <w:b/>
                <w:bCs/>
                <w:color w:val="000000"/>
                <w:position w:val="0"/>
                <w:sz w:val="20"/>
                <w:szCs w:val="20"/>
              </w:rPr>
              <w:t xml:space="preserve">Fremde geduldet</w:t>
            </w:r>
            <w:r>
              <w:rPr>
                <w:rFonts w:ascii="Arial" w:hAnsi="Arial" w:eastAsia="Arial" w:cs="Arial"/>
                <w:color w:val="000000"/>
                <w:position w:val="0"/>
                <w:sz w:val="20"/>
                <w:szCs w:val="20"/>
              </w:rPr>
              <w:t xml:space="preserve"> ist. Nach § 46a Abs 1
Z 3 FPG ist der Aufenthalt von Fremden im Bundesgebiet zu
dulden, solange deren Abschiebung aus tatsächlichen, vom Fremden
nicht zu vertretenen Gründen unmöglich erscheint. Die Strafbarkeit
setzt somit voraus, dass der Ausreisepflicht aus vom Fremden zu
vertretenden Gründen nicht nachgekommen wurde. Die Begründung des
VwG, dass das Fehlen von Reisedokumenten einer Verpflichtung zur
Ausreise nach einer rechtskräftigen und durchsetzbaren
Rückkehrentscheidung nicht entgegenstehe, greift zu kurz. Vielmehr
wäre das Vorbringen in der Beschwerde, wonach dem Revisionswerber
die Ausreise mangels gültiger Reisepapiere aus von ihm nicht zu
vertretenen Gründen nicht möglich gewesen sei, in Bezug auf die
Frage einer allfälligen Duldung (…) zu prüfen gewesen (VwGH
20.10.2022, Ra 2021/17/0180).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Dem angefochtenen Erkenntnis ist nicht zu entnehmen,
</w:t>
            </w:r>
            <w:r>
              <w:rPr>
                <w:rFonts w:ascii="Arial" w:hAnsi="Arial" w:eastAsia="Arial" w:cs="Arial"/>
                <w:b/>
                <w:bCs/>
                <w:color w:val="000000"/>
                <w:position w:val="0"/>
                <w:sz w:val="20"/>
                <w:szCs w:val="20"/>
              </w:rPr>
              <w:t xml:space="preserve">welche konkreten zielführenden Schritte</w:t>
            </w:r>
            <w:r>
              <w:rPr>
                <w:rFonts w:ascii="Arial" w:hAnsi="Arial" w:eastAsia="Arial" w:cs="Arial"/>
                <w:color w:val="000000"/>
                <w:position w:val="0"/>
                <w:sz w:val="20"/>
                <w:szCs w:val="20"/>
              </w:rPr>
              <w:t xml:space="preserve"> der
Revisionswerber </w:t>
            </w:r>
            <w:r>
              <w:rPr>
                <w:rFonts w:ascii="Arial" w:hAnsi="Arial" w:eastAsia="Arial" w:cs="Arial"/>
                <w:b/>
                <w:bCs/>
                <w:color w:val="000000"/>
                <w:position w:val="0"/>
                <w:sz w:val="20"/>
                <w:szCs w:val="20"/>
              </w:rPr>
              <w:t xml:space="preserve">zum Ermöglichen seiner Ausreise hätte
setzen können bzw müssen</w:t>
            </w:r>
            <w:r>
              <w:rPr>
                <w:rFonts w:ascii="Arial" w:hAnsi="Arial" w:eastAsia="Arial" w:cs="Arial"/>
                <w:color w:val="000000"/>
                <w:position w:val="0"/>
                <w:sz w:val="20"/>
                <w:szCs w:val="20"/>
              </w:rPr>
              <w:t xml:space="preserve">. Vielmehr beschränkt sich das
LVwG auf den pauschalen Vorwurf, der Revisionswerber habe „nicht
alle ihm möglichen Maßnahmen“ ergriffen, um zu den notwendigen
Ausreisezertifikaten zu gelangen. Dies reicht aber nicht aus, um
dem Revisionswerber das Unterbleiben seiner Ausreise zuzurechnen.
Aus den Feststellungen, wonach es dem Revisionswerber bislang nicht
möglich gewesen sei, ein Heimreisezertifikat zu erlangen (weil die
Antragstellung zum Ausstellen von Reisedokumenten in der
diplomatischen Vertretung Somalias in der Schweiz nur persönlich
möglich sei), lässt sich die rechtliche Schlussfolgerung des LVwG,
die Gründe für die unterbliebene Ausreise seien gem § 120
Abs 1b FPG vom Revisionswerber zu vertreten, nicht schlüssig
ableiten (VwGH 03.01.2023, Ra 2021/17/0003).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Übertretung nach § 120 Abs 2 Z 1 FPG ist kein
Erfolgsdelikt. Daher ist es zur Strafbarkeit nicht ausreichend,
dass eine Person, die die falschen Angaben im Ausland gemacht hat,
in Österreich lediglich bei ihrem Aufenthalt, welcher sich auf
einen durch diese Angaben erschlichenen Einreise- oder
Aufenthaltstitel gründet, betreten wurde (LVwG Vorarlberg
19.01.2017, LVwG-1-406/2016-R4).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den Anforderungen des § 44a Z 1 VStG wegen einer
Verwaltungsübertretung nach § 120 Abs 2 Z 1 FPG zu
genügen, ist in die Tatumschreibung jedenfalls die Tatzeit sowie
ein konkreter Vorhalt, durch welche falschen Angaben die
Erschleichung eines Aufenthaltes im Bundesgebiet versucht worden
ist, aufzunehmen. Die Wiedergabe der verba legalia genügt
jedenfalls nicht (LVwG Steiermark 22.02.2016, LVwG
30.3-351/2016).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der Sache nach ausreichend, wenn im Spruch des
Straferkenntnisses (§ 120 Abs 1a iVm § 31 Abs 1
FPG) nur auf den fallbezogen jeweils relevanten Tatbestand des
§ 31 Abs 1 FPG sachverhaltsmäßig Bezug genommen und das
Vorliegen von dessen übrigen Tatbeständen – wenn auch nur implizit
und ohne deren ausdrücklicher Darstellung im Spruch – in genereller
Weise verneint wurde (VwGH 13.11.2018, Ra 2018/21/0104).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Führt die Behörde lediglich § 121 Abs 3 und § 32
Abs 2 FPG an, ist unter dem Blickwinkel des § 44a
Z 2 VStG zu monieren, dass damit eine genaue Festlegung der
übertretenen Verwaltungsvorschrift unterblieb. § 121
Abs 3 FPG enthält nämlich mehrere Straftatbestände, sodass
insoweit eine Präzisierung vorzunehmen gewesen wäre, und zwar
ungeachtet dessen, dass sich schon aus der Umschreibung der Tat und
der Verknüpfung mit § 32 Abs 2 FPG ergibt, dass
offenkundig der Straftatbestand nach § 121 Abs 3 Z 2
FPG angesprochen werden sollte (VwGH 20.02.2014, 2013/21/0204
[VwSlg 18.787 A/2014]).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VfGH geht von jenem Inhalt des Art 7 EMRK aus, den der
EGMR diesem zuletzt beigelegt hat. Im Lichte dessen gebietet es
Art 7 EMRK, bei </w:t>
            </w:r>
            <w:r>
              <w:rPr>
                <w:rFonts w:ascii="Arial" w:hAnsi="Arial" w:eastAsia="Arial" w:cs="Arial"/>
                <w:b/>
                <w:bCs/>
                <w:color w:val="000000"/>
                <w:position w:val="0"/>
                <w:sz w:val="20"/>
                <w:szCs w:val="20"/>
              </w:rPr>
              <w:t xml:space="preserve">Änderung der Rechtslage</w:t>
            </w:r>
            <w:r>
              <w:rPr>
                <w:rFonts w:ascii="Arial" w:hAnsi="Arial" w:eastAsia="Arial" w:cs="Arial"/>
                <w:color w:val="000000"/>
                <w:position w:val="0"/>
                <w:sz w:val="20"/>
                <w:szCs w:val="20"/>
              </w:rPr>
              <w:t xml:space="preserve"> nach
der Begehung der Straftat die für den Beschuldigten </w:t>
            </w:r>
            <w:r>
              <w:rPr>
                <w:rFonts w:ascii="Arial" w:hAnsi="Arial" w:eastAsia="Arial" w:cs="Arial"/>
                <w:b/>
                <w:bCs/>
                <w:color w:val="000000"/>
                <w:position w:val="0"/>
                <w:sz w:val="20"/>
                <w:szCs w:val="20"/>
              </w:rPr>
              <w:t xml:space="preserve">mildere
Strafe zu verhängen</w:t>
            </w:r>
            <w:r>
              <w:rPr>
                <w:rFonts w:ascii="Arial" w:hAnsi="Arial" w:eastAsia="Arial" w:cs="Arial"/>
                <w:color w:val="000000"/>
                <w:position w:val="0"/>
                <w:sz w:val="20"/>
                <w:szCs w:val="20"/>
              </w:rPr>
              <w:t xml:space="preserve">. Eine solche Konstellation ist im
vorliegenden Fall gegeben: Der VfGH hat mit Erkenntnis vom
10.03.2020, G163/2019 ua, die Wort- und Ziffernfolge „von 5 000“ in
§ 120 Abs 1b FPG als verfassungswidrig aufgehoben. Da das
LVwG im angefochtenen Erkenntnis vom 17.07.2020, die für den
Beschwerdeführer günstigere Rechtslage, welche am 17.04.2020 in
Kraft trat und nunmehr keine Mindeststrafe vorsieht, nicht im
Rahmen eines Günstigkeitsvergleichs gem § 1 Abs 2
VStG anwandte, liegt ein Verstoß gegen Art 7 EMRK vor (VfGH
24.02.2021, E2949/2020).</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Schließlich sind auch allfällige weitere Anträge zu
begründen.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320541" w:name="note15"/>
            <w:bookmarkEnd w:id="38320541"/>
            <w:bookmarkStart w:id="3767529007336" w:name="note15"/>
            <w:r>
              <w:rPr>
                <w:rFonts w:ascii="Arial" w:hAnsi="Arial" w:eastAsia="Arial" w:cs="Arial"/>
                <w:b/>
                <w:bCs/>
                <w:color w:val="000000"/>
                <w:position w:val="0"/>
                <w:sz w:val="20"/>
                <w:szCs w:val="20"/>
              </w:rPr>
              <w:t xml:space="preserve">[15]</w:t>
            </w:r>
            <w:bookmarkEnd w:id="376752900733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Frist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Beschwerdefrist beträgt vier Wochen und beginnt (§ 7
Abs 4 Z 1 VwGVG),</w:t>
            </w:r>
          </w:p>
          <w:p>
            <w:pPr>
              <w:numPr>
                <w:ilvl w:val="0"/>
                <w:numId w:val="3637034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der Bescheid dem Beschwerdeführer zugestellt wurde
(Regelfall), mit dem Tag der Zustellung, bzw</w:t>
            </w:r>
          </w:p>
          <w:p>
            <w:pPr>
              <w:numPr>
                <w:ilvl w:val="0"/>
                <w:numId w:val="363703414"/>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der Bescheid dem Beschwerdeführer nur mündlich verkündet
wurde, mit dem Tag der Verkündung.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mangelhafter Zustellvorgang löst den Beginn der
Rechtsmittelfrist nicht aus (VwGH 07.03.2016, Ra 2015/02/0233; VwGH
13.06.2022, Ra 2021/01/0042).</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7034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400690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7436235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2100802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240330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881342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082513">
    <w:multiLevelType w:val="hybridMultilevel"/>
    <w:lvl w:ilvl="0" w:tplc="19411746">
      <w:start w:val="1"/>
      <w:numFmt w:val="decimal"/>
      <w:lvlText w:val="%1."/>
      <w:lvlJc w:val="left"/>
      <w:pPr>
        <w:ind w:left="720" w:hanging="360"/>
      </w:pPr>
    </w:lvl>
    <w:lvl w:ilvl="1" w:tplc="19411746" w:tentative="1">
      <w:start w:val="1"/>
      <w:numFmt w:val="lowerLetter"/>
      <w:lvlText w:val="%2."/>
      <w:lvlJc w:val="left"/>
      <w:pPr>
        <w:ind w:left="1440" w:hanging="360"/>
      </w:pPr>
    </w:lvl>
    <w:lvl w:ilvl="2" w:tplc="19411746" w:tentative="1">
      <w:start w:val="1"/>
      <w:numFmt w:val="lowerRoman"/>
      <w:lvlText w:val="%3."/>
      <w:lvlJc w:val="right"/>
      <w:pPr>
        <w:ind w:left="2160" w:hanging="180"/>
      </w:pPr>
    </w:lvl>
    <w:lvl w:ilvl="3" w:tplc="19411746" w:tentative="1">
      <w:start w:val="1"/>
      <w:numFmt w:val="decimal"/>
      <w:lvlText w:val="%4."/>
      <w:lvlJc w:val="left"/>
      <w:pPr>
        <w:ind w:left="2880" w:hanging="360"/>
      </w:pPr>
    </w:lvl>
    <w:lvl w:ilvl="4" w:tplc="19411746" w:tentative="1">
      <w:start w:val="1"/>
      <w:numFmt w:val="lowerLetter"/>
      <w:lvlText w:val="%5."/>
      <w:lvlJc w:val="left"/>
      <w:pPr>
        <w:ind w:left="3600" w:hanging="360"/>
      </w:pPr>
    </w:lvl>
    <w:lvl w:ilvl="5" w:tplc="19411746" w:tentative="1">
      <w:start w:val="1"/>
      <w:numFmt w:val="lowerRoman"/>
      <w:lvlText w:val="%6."/>
      <w:lvlJc w:val="right"/>
      <w:pPr>
        <w:ind w:left="4320" w:hanging="180"/>
      </w:pPr>
    </w:lvl>
    <w:lvl w:ilvl="6" w:tplc="19411746" w:tentative="1">
      <w:start w:val="1"/>
      <w:numFmt w:val="decimal"/>
      <w:lvlText w:val="%7."/>
      <w:lvlJc w:val="left"/>
      <w:pPr>
        <w:ind w:left="5040" w:hanging="360"/>
      </w:pPr>
    </w:lvl>
    <w:lvl w:ilvl="7" w:tplc="19411746" w:tentative="1">
      <w:start w:val="1"/>
      <w:numFmt w:val="lowerLetter"/>
      <w:lvlText w:val="%8."/>
      <w:lvlJc w:val="left"/>
      <w:pPr>
        <w:ind w:left="5760" w:hanging="360"/>
      </w:pPr>
    </w:lvl>
    <w:lvl w:ilvl="8" w:tplc="19411746" w:tentative="1">
      <w:start w:val="1"/>
      <w:numFmt w:val="lowerRoman"/>
      <w:lvlText w:val="%9."/>
      <w:lvlJc w:val="right"/>
      <w:pPr>
        <w:ind w:left="6480" w:hanging="180"/>
      </w:pPr>
    </w:lvl>
  </w:abstractNum>
  <w:abstractNum w:abstractNumId="27008675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796756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113606">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082512">
    <w:multiLevelType w:val="hybridMultilevel"/>
    <w:lvl w:ilvl="0" w:tplc="47718721">
      <w:start w:val="1"/>
      <w:numFmt w:val="decimal"/>
      <w:lvlText w:val="%1."/>
      <w:lvlJc w:val="left"/>
      <w:pPr>
        <w:ind w:left="720" w:hanging="360"/>
      </w:pPr>
    </w:lvl>
    <w:lvl w:ilvl="1" w:tplc="47718721" w:tentative="1">
      <w:start w:val="1"/>
      <w:numFmt w:val="lowerLetter"/>
      <w:lvlText w:val="%2."/>
      <w:lvlJc w:val="left"/>
      <w:pPr>
        <w:ind w:left="1440" w:hanging="360"/>
      </w:pPr>
    </w:lvl>
    <w:lvl w:ilvl="2" w:tplc="47718721" w:tentative="1">
      <w:start w:val="1"/>
      <w:numFmt w:val="lowerRoman"/>
      <w:lvlText w:val="%3."/>
      <w:lvlJc w:val="right"/>
      <w:pPr>
        <w:ind w:left="2160" w:hanging="180"/>
      </w:pPr>
    </w:lvl>
    <w:lvl w:ilvl="3" w:tplc="47718721" w:tentative="1">
      <w:start w:val="1"/>
      <w:numFmt w:val="decimal"/>
      <w:lvlText w:val="%4."/>
      <w:lvlJc w:val="left"/>
      <w:pPr>
        <w:ind w:left="2880" w:hanging="360"/>
      </w:pPr>
    </w:lvl>
    <w:lvl w:ilvl="4" w:tplc="47718721" w:tentative="1">
      <w:start w:val="1"/>
      <w:numFmt w:val="lowerLetter"/>
      <w:lvlText w:val="%5."/>
      <w:lvlJc w:val="left"/>
      <w:pPr>
        <w:ind w:left="3600" w:hanging="360"/>
      </w:pPr>
    </w:lvl>
    <w:lvl w:ilvl="5" w:tplc="47718721" w:tentative="1">
      <w:start w:val="1"/>
      <w:numFmt w:val="lowerRoman"/>
      <w:lvlText w:val="%6."/>
      <w:lvlJc w:val="right"/>
      <w:pPr>
        <w:ind w:left="4320" w:hanging="180"/>
      </w:pPr>
    </w:lvl>
    <w:lvl w:ilvl="6" w:tplc="47718721" w:tentative="1">
      <w:start w:val="1"/>
      <w:numFmt w:val="decimal"/>
      <w:lvlText w:val="%7."/>
      <w:lvlJc w:val="left"/>
      <w:pPr>
        <w:ind w:left="5040" w:hanging="360"/>
      </w:pPr>
    </w:lvl>
    <w:lvl w:ilvl="7" w:tplc="47718721" w:tentative="1">
      <w:start w:val="1"/>
      <w:numFmt w:val="lowerLetter"/>
      <w:lvlText w:val="%8."/>
      <w:lvlJc w:val="left"/>
      <w:pPr>
        <w:ind w:left="5760" w:hanging="360"/>
      </w:pPr>
    </w:lvl>
    <w:lvl w:ilvl="8" w:tplc="47718721" w:tentative="1">
      <w:start w:val="1"/>
      <w:numFmt w:val="lowerRoman"/>
      <w:lvlText w:val="%9."/>
      <w:lvlJc w:val="right"/>
      <w:pPr>
        <w:ind w:left="6480" w:hanging="180"/>
      </w:pPr>
    </w:lvl>
  </w:abstractNum>
  <w:abstractNum w:abstractNumId="93082511">
    <w:multiLevelType w:val="hybridMultilevel"/>
    <w:lvl w:ilvl="0" w:tplc="91471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82511">
    <w:abstractNumId w:val="93082511"/>
  </w:num>
  <w:num w:numId="93082512">
    <w:abstractNumId w:val="93082512"/>
  </w:num>
  <w:num w:numId="38113606">
    <w:abstractNumId w:val="38113606"/>
  </w:num>
  <w:num w:numId="879675685">
    <w:abstractNumId w:val="879675685"/>
  </w:num>
  <w:num w:numId="270086753">
    <w:abstractNumId w:val="270086753"/>
  </w:num>
  <w:num w:numId="93082513">
    <w:abstractNumId w:val="93082513"/>
  </w:num>
  <w:num w:numId="18813429">
    <w:abstractNumId w:val="18813429"/>
  </w:num>
  <w:num w:numId="324033091">
    <w:abstractNumId w:val="324033091"/>
  </w:num>
  <w:num w:numId="521008022">
    <w:abstractNumId w:val="521008022"/>
  </w:num>
  <w:num w:numId="774362357">
    <w:abstractNumId w:val="774362357"/>
  </w:num>
  <w:num w:numId="464006902">
    <w:abstractNumId w:val="464006902"/>
  </w:num>
  <w:num w:numId="363703414">
    <w:abstractNumId w:val="363703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21570425" Type="http://schemas.openxmlformats.org/officeDocument/2006/relationships/numbering" Target="numbering.xml"/><Relationship Id="rId411091444" Type="http://schemas.openxmlformats.org/officeDocument/2006/relationships/comments" Target="comments.xml"/><Relationship Id="rId70126abff84b2ca77" Type="http://schemas.openxmlformats.org/officeDocument/2006/relationships/hyperlink" Target="http://www.polizei.gv.at/alle/e_mail.aspx" TargetMode="External"/><Relationship Id="rId87406abff84b2d553" Type="http://schemas.openxmlformats.org/officeDocument/2006/relationships/hyperlink" Target="http://www.lvwg-stmk.gv.at/cms/beitrag/11953409/10453672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