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245869" w:name="document"/>
    <w:bookmarkEnd w:id="52245869"/>
    <w:p/>
    <w:p>
      <w:pPr>
        <w:widowControl w:val="on"/>
        <w:pBdr/>
        <w:spacing w:before="0" w:after="280" w:line="240" w:lineRule="auto"/>
        <w:ind w:left="0" w:right="0"/>
        <w:jc w:val="left"/>
      </w:pPr>
      <w:r>
        <w:rPr>
          <w:rFonts w:ascii="Arial" w:hAnsi="Arial" w:eastAsia="Arial" w:cs="Arial"/>
          <w:color w:val="363A40"/>
          <w:sz w:val="24"/>
          <w:szCs w:val="24"/>
        </w:rPr>
        <w:t xml:space="preserve">Dokument-ID: 983280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Minderungsschreiben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Der Rechtsbehelf der Preisminderung besteht dann, wenn ein
unbehebbarer und unwesentlicher Mangel vorliegt. Es handelt sich
dabei um einen sekundären Rechtsbehelf.</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Aufforderungsschreiben
(Preisminderung)</w:t>
      </w:r>
    </w:p>
    <w:p>
      <w:pPr>
        <w:widowControl w:val="on"/>
        <w:pBdr/>
        <w:spacing w:before="140" w:after="240" w:line="288" w:lineRule="auto"/>
        <w:ind w:left="0" w:right="0"/>
        <w:jc w:val="left"/>
      </w:pPr>
      <w:r>
        <w:rPr>
          <w:rFonts w:ascii="Arial" w:hAnsi="Arial" w:eastAsia="Arial" w:cs="Arial"/>
          <w:color w:val="000000"/>
          <w:sz w:val="20"/>
          <w:szCs w:val="20"/>
        </w:rPr>
        <w:t xml:space="preserve">An den Auftragnehmer … [Name]</w:t>
      </w:r>
      <w:r>
        <w:rPr>
          <w:rFonts w:ascii="Arial" w:hAnsi="Arial" w:eastAsia="Arial" w:cs="Arial"/>
          <w:color w:val="000000"/>
          <w:sz w:val="20"/>
          <w:szCs w:val="20"/>
        </w:rPr>
        <w:br/>
        <w:t xml:space="preserve">… [Adresse]</w:t>
      </w:r>
      <w:r>
        <w:rPr>
          <w:rFonts w:ascii="Arial" w:hAnsi="Arial" w:eastAsia="Arial" w:cs="Arial"/>
          <w:color w:val="000000"/>
          <w:sz w:val="20"/>
          <w:szCs w:val="20"/>
        </w:rPr>
        <w:br/>
        <w:t xml:space="preserve">… [Name des Auftraggebers]</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Betreff: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Bauvorhaben in 1080 Wien, Bergdorferstraße 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Preisminderung</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Mängelrüge – Preisminderung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Am … mussten wir bei der Begehung des Bauvorhabens in 1080 Wien,
Bergdorferstraße 10, bei den von Ihnen erbrachten und
fertiggestellten Malerarbeiten folgende unten angeführte Mängel
feststellen:</w:t>
      </w:r>
    </w:p>
    <w:p>
      <w:pPr>
        <w:widowControl w:val="on"/>
        <w:pBdr/>
        <w:spacing w:before="140" w:after="240" w:line="288" w:lineRule="auto"/>
        <w:ind w:left="0" w:right="0"/>
        <w:jc w:val="left"/>
      </w:pPr>
      <w:r>
        <w:rPr>
          <w:rFonts w:ascii="Arial" w:hAnsi="Arial" w:eastAsia="Arial" w:cs="Arial"/>
          <w:color w:val="000000"/>
          <w:sz w:val="20"/>
          <w:szCs w:val="20"/>
        </w:rPr>
        <w:t xml:space="preserve">(Es folgt eine Aufzählung der einzelnen Mängel: …)</w:t>
      </w:r>
    </w:p>
    <w:p>
      <w:pPr>
        <w:widowControl w:val="on"/>
        <w:pBdr/>
        <w:spacing w:before="140" w:after="240" w:line="288" w:lineRule="auto"/>
        <w:ind w:left="0" w:right="0"/>
        <w:jc w:val="left"/>
      </w:pPr>
      <w:r>
        <w:rPr>
          <w:rFonts w:ascii="Arial" w:hAnsi="Arial" w:eastAsia="Arial" w:cs="Arial"/>
          <w:color w:val="000000"/>
          <w:sz w:val="20"/>
          <w:szCs w:val="20"/>
        </w:rPr>
        <w:t xml:space="preserve">Wir haben diese Mängel innerhalb der Vermutungsfrist
gem § 924 ABGB </w:t>
      </w:r>
      <w:r>
        <w:rPr>
          <w:rFonts w:ascii="Arial" w:hAnsi="Arial" w:eastAsia="Arial" w:cs="Arial"/>
          <w:color w:val="000000"/>
          <w:sz w:val="20"/>
          <w:szCs w:val="20"/>
        </w:rPr>
        <w:t xml:space="preserve">gerügt</w:t>
      </w:r>
      <w:bookmarkStart w:id="34652124" w:name="link1"/>
      <w:bookmarkEnd w:id="34652124"/>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und Sie mit Schreiben vom … [Datum] zur
Vornahme der Verbesserung aufgefordert.</w:t>
      </w:r>
    </w:p>
    <w:p>
      <w:pPr>
        <w:widowControl w:val="on"/>
        <w:pBdr/>
        <w:spacing w:before="140" w:after="240" w:line="288" w:lineRule="auto"/>
        <w:ind w:left="0" w:right="0"/>
        <w:jc w:val="left"/>
      </w:pPr>
      <w:r>
        <w:rPr>
          <w:rFonts w:ascii="Arial" w:hAnsi="Arial" w:eastAsia="Arial" w:cs="Arial"/>
          <w:color w:val="000000"/>
          <w:sz w:val="20"/>
          <w:szCs w:val="20"/>
        </w:rPr>
        <w:t xml:space="preserve">Mit Schreiben vom … [Datum] teilten Sie uns mit, dass es sich
bei den oben angeführten Mängeln um unbehebbare und unwesentliche
Mängel handelt und Sie die Behebung dieser Mängel verweigern.</w:t>
      </w:r>
    </w:p>
    <w:p>
      <w:pPr>
        <w:widowControl w:val="on"/>
        <w:pBdr/>
        <w:spacing w:before="140" w:after="240" w:line="288" w:lineRule="auto"/>
        <w:ind w:left="0" w:right="0"/>
        <w:jc w:val="left"/>
      </w:pPr>
      <w:r>
        <w:rPr>
          <w:rFonts w:ascii="Arial" w:hAnsi="Arial" w:eastAsia="Arial" w:cs="Arial"/>
          <w:color w:val="000000"/>
          <w:sz w:val="20"/>
          <w:szCs w:val="20"/>
        </w:rPr>
        <w:t xml:space="preserve">Im Rahmen der Gewährleistung haben wir deshalb einen Anspruch
auf </w:t>
      </w:r>
      <w:r>
        <w:rPr>
          <w:rFonts w:ascii="Arial" w:hAnsi="Arial" w:eastAsia="Arial" w:cs="Arial"/>
          <w:color w:val="000000"/>
          <w:sz w:val="20"/>
          <w:szCs w:val="20"/>
        </w:rPr>
        <w:t xml:space="preserve">Preisminderung.</w:t>
      </w:r>
      <w:bookmarkStart w:id="11775646" w:name="link2"/>
      <w:bookmarkEnd w:id="11775646"/>
      <w:hyperlink w:anchor="note2" w:history="1">
        <w:r>
          <w:rPr>
            <w:rFonts w:ascii="Arial" w:hAnsi="Arial" w:eastAsia="Arial" w:cs="Arial"/>
            <w:b/>
            <w:bCs/>
            <w:color w:val="006BB6"/>
            <w:position w:val="4"/>
            <w:sz w:val="22"/>
            <w:szCs w:val="22"/>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Anspruch auf Preisminderung beläuft sich auf EUR …
</w:t>
      </w:r>
      <w:r>
        <w:rPr>
          <w:rFonts w:ascii="Arial" w:hAnsi="Arial" w:eastAsia="Arial" w:cs="Arial"/>
          <w:color w:val="000000"/>
          <w:sz w:val="20"/>
          <w:szCs w:val="20"/>
        </w:rPr>
        <w:t xml:space="preserve">[Betrag].</w:t>
      </w:r>
      <w:bookmarkStart w:id="89977084" w:name="link3"/>
      <w:bookmarkEnd w:id="89977084"/>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Aus diesem Grunde fordern wir Sie daher auf, uns den oben
genannten Betrag auf unser Konto bei der … [Name des
Bankinstituts], … [IBAN], innerhalb einer Frist von … [Angabe der
Frist], bis längstens zum … [Datum]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Sollten Sie die von uns gesetzte Frist ungenützt verstreichen
lassen, behalten wir uns vor, entweder die uns vorliegende
</w:t>
      </w:r>
      <w:r>
        <w:rPr>
          <w:rFonts w:ascii="Arial" w:hAnsi="Arial" w:eastAsia="Arial" w:cs="Arial"/>
          <w:color w:val="000000"/>
          <w:sz w:val="20"/>
          <w:szCs w:val="20"/>
        </w:rPr>
        <w:t xml:space="preserve">Haftrücklassgarantie</w:t>
      </w:r>
      <w:bookmarkStart w:id="41008172" w:name="link4"/>
      <w:bookmarkEnd w:id="41008172"/>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zu
beanspruchen oder unsere Ansprüche innerhalb der
Gewährleistungsfrist im gerichtlichen Weg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864208" w:name="note1"/>
            <w:bookmarkEnd w:id="62864208"/>
            <w:bookmarkStart w:id="710468912507" w:name="note1"/>
            <w:r>
              <w:rPr>
                <w:rFonts w:ascii="Arial" w:hAnsi="Arial" w:eastAsia="Arial" w:cs="Arial"/>
                <w:b/>
                <w:bCs/>
                <w:color w:val="000000"/>
                <w:position w:val="0"/>
                <w:sz w:val="20"/>
                <w:szCs w:val="20"/>
              </w:rPr>
              <w:t xml:space="preserve">[1]</w:t>
            </w:r>
            <w:bookmarkEnd w:id="7104689125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ABGB besteht keine gesetzliche Verpflichtung, die Mängel zu
rügen. Dies hat zur Folge, dass ein Unterlassen der Rügepflicht
keine Auswirkung auf das Bestehen von Gewährleistungsansprüchen hat
bzw keinen Verlust der Ansprüche bewirkt. Eine Mängelrüge empfiehlt
sich dann, wenn diese innerhalb der Gewährleistungsfrist erhoben
wurde.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Geltungsbereich der ÖNORM B 2110 ist die Erhebung einer
schriftlichen Mängelrüge, ausgenommen bei Verbrauchergeschäften,
verpflichtend. Der Auftraggeber hat dem Werkunternehmer Mängel, die
nicht bereits bei der Übernahme des Werks beanstandet wurden,
frühestens nach deren Bekanntwerden, jedenfalls innerhalb der
vereinbarten Gewährleistungsfrist schriftlich bekanntzugeben.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Verbrauchergeschäften gilt, dass ein auftretender Mangel
gegenüber dem Vertragspartner so rasch wie möglich gerügt werden
muss. Allerdings stellt bei Verbrauchergeschäften die
frühestmögliche Bekanntgabe von Mängeln keine Voraussetzung dar, um
Gewährleistungsansprüche auszuschließen.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diesem Zusammenhang erwähnenswert ist, dass dann, wenn der
Mangel innerhalb von sechs Monaten gerügt wird, vermutet wird, dass
dieser Mangel bereits im Zeitpunkt der Übernahme vorhanden gewesen
ist. Dies gilt allerdings dann nicht, wenn der Mangel mit der Art
der Sache oder des Mangels unvereinbar ist (5.45.3.4. ÖNORM B
2110).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924 ABGB gilt diese Vermutungsfrist bei Hervorkommen
des Mangels innerhalb von sechs Monaten, ist jedoch nicht an eine
Mängelrüge innerhalb dieser Frist gebunden.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723069" w:name="note2"/>
            <w:bookmarkEnd w:id="72723069"/>
            <w:bookmarkStart w:id="1100085897532" w:name="note2"/>
            <w:r>
              <w:rPr>
                <w:rFonts w:ascii="Arial" w:hAnsi="Arial" w:eastAsia="Arial" w:cs="Arial"/>
                <w:b/>
                <w:bCs/>
                <w:color w:val="000000"/>
                <w:position w:val="0"/>
                <w:sz w:val="20"/>
                <w:szCs w:val="20"/>
              </w:rPr>
              <w:t xml:space="preserve">[2]</w:t>
            </w:r>
            <w:bookmarkEnd w:id="11000858975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primärer Gewährleistungsbehelf wird dem Auftraggeber der
Anspruch auf Verbesserung gewährt. Erst dann, wenn die Verbesserung
nicht möglich ist oder mit einem unverhältnismäßigen Aufwand
verbunden ist, besteht ein Anspruch auf Preisminderung, wenn der
Mangel unwesentlich ist.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856185" w:name="note3"/>
            <w:bookmarkEnd w:id="71856185"/>
            <w:bookmarkStart w:id="2618967771138" w:name="note3"/>
            <w:r>
              <w:rPr>
                <w:rFonts w:ascii="Arial" w:hAnsi="Arial" w:eastAsia="Arial" w:cs="Arial"/>
                <w:b/>
                <w:bCs/>
                <w:color w:val="000000"/>
                <w:position w:val="0"/>
                <w:sz w:val="20"/>
                <w:szCs w:val="20"/>
              </w:rPr>
              <w:t xml:space="preserve">[3]</w:t>
            </w:r>
            <w:bookmarkEnd w:id="26189677711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Anspruch auf Preisminderung wird grundsätzlich nach der so
genannten relativen Berechnungsmethode vorgenommen. Bei der
Ermittlung der Preisminderung wird zunächst auf den Wert der Sache
im mangelfreien Zustand Bedacht genommen. Im Anschluss daran wird
der Wert der Sache im mangelhaften Zustand ermittelt. Die
Preisminderung ergibt sich durch die Differenz des Wertes der Sache
im mangelfreien Zustand und des Wertes der Sache im mangelhaften
Zustand.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besteht für eine Preisminderung nach der relativen
Berechnungsmethode ohne Darlegung besonders
berücksichtigungswürdiger Verkäuferinteressen keine Untergrenze mit
dem Verkehrswert des mangelhaften Verkaufsobjekts.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Praxis empfiehlt es sich daher, für die Ausmittlung des
Anspruchs auf Preisminderung einen Sachverständigen
beizuziehen.</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582597" w:name="note4"/>
            <w:bookmarkEnd w:id="53582597"/>
            <w:bookmarkStart w:id="1902367829738" w:name="note4"/>
            <w:r>
              <w:rPr>
                <w:rFonts w:ascii="Arial" w:hAnsi="Arial" w:eastAsia="Arial" w:cs="Arial"/>
                <w:b/>
                <w:bCs/>
                <w:color w:val="000000"/>
                <w:position w:val="0"/>
                <w:sz w:val="20"/>
                <w:szCs w:val="20"/>
              </w:rPr>
              <w:t xml:space="preserve">[4]</w:t>
            </w:r>
            <w:bookmarkEnd w:id="19023678297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Haftrücklass wird die Sicherstellung für den Fall
verstanden, dass der Auftragnehmer seinen ihn treffenden Pflichten
aus der Gewährleistung nicht vollständig nachkommt. Der
Haftrücklass wird auch dann für die Finanzierung aufgewendet, wenn
der Auftraggeber den Mangel selbst beheben sollte oder durch Dritte
beheben lässt, weil der Auftragnehmer den Preisminderungsanspruch
bestritten hat oder die entsprechenden Überweisungen nicht
vorgenommen hat.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5.48.3.3.: Der Auftraggeber hat das Recht, sich
aus dem Haftrücklass für seine Gewährleistungsansprüche schadlos zu
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5.48.3.1.: Es kann ein Haftrücklass von 2 %
von der Schlussrechnungssumme bzw Teilschlussrechnungssumme
(Gesamtpreis zuzüglich Umsatzsteuer) seitens des Auftraggebers
einbehalten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Außerhalb des Geltungsbereichs der ÖNORM B 2110 sind
Haftrücklässe in der Höhe von 3 % üblich.</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55966">
    <w:multiLevelType w:val="hybridMultilevel"/>
    <w:lvl w:ilvl="0" w:tplc="48387848">
      <w:start w:val="1"/>
      <w:numFmt w:val="decimal"/>
      <w:lvlText w:val="%1."/>
      <w:lvlJc w:val="left"/>
      <w:pPr>
        <w:ind w:left="720" w:hanging="360"/>
      </w:pPr>
    </w:lvl>
    <w:lvl w:ilvl="1" w:tplc="48387848" w:tentative="1">
      <w:start w:val="1"/>
      <w:numFmt w:val="lowerLetter"/>
      <w:lvlText w:val="%2."/>
      <w:lvlJc w:val="left"/>
      <w:pPr>
        <w:ind w:left="1440" w:hanging="360"/>
      </w:pPr>
    </w:lvl>
    <w:lvl w:ilvl="2" w:tplc="48387848" w:tentative="1">
      <w:start w:val="1"/>
      <w:numFmt w:val="lowerRoman"/>
      <w:lvlText w:val="%3."/>
      <w:lvlJc w:val="right"/>
      <w:pPr>
        <w:ind w:left="2160" w:hanging="180"/>
      </w:pPr>
    </w:lvl>
    <w:lvl w:ilvl="3" w:tplc="48387848" w:tentative="1">
      <w:start w:val="1"/>
      <w:numFmt w:val="decimal"/>
      <w:lvlText w:val="%4."/>
      <w:lvlJc w:val="left"/>
      <w:pPr>
        <w:ind w:left="2880" w:hanging="360"/>
      </w:pPr>
    </w:lvl>
    <w:lvl w:ilvl="4" w:tplc="48387848" w:tentative="1">
      <w:start w:val="1"/>
      <w:numFmt w:val="lowerLetter"/>
      <w:lvlText w:val="%5."/>
      <w:lvlJc w:val="left"/>
      <w:pPr>
        <w:ind w:left="3600" w:hanging="360"/>
      </w:pPr>
    </w:lvl>
    <w:lvl w:ilvl="5" w:tplc="48387848" w:tentative="1">
      <w:start w:val="1"/>
      <w:numFmt w:val="lowerRoman"/>
      <w:lvlText w:val="%6."/>
      <w:lvlJc w:val="right"/>
      <w:pPr>
        <w:ind w:left="4320" w:hanging="180"/>
      </w:pPr>
    </w:lvl>
    <w:lvl w:ilvl="6" w:tplc="48387848" w:tentative="1">
      <w:start w:val="1"/>
      <w:numFmt w:val="decimal"/>
      <w:lvlText w:val="%7."/>
      <w:lvlJc w:val="left"/>
      <w:pPr>
        <w:ind w:left="5040" w:hanging="360"/>
      </w:pPr>
    </w:lvl>
    <w:lvl w:ilvl="7" w:tplc="48387848" w:tentative="1">
      <w:start w:val="1"/>
      <w:numFmt w:val="lowerLetter"/>
      <w:lvlText w:val="%8."/>
      <w:lvlJc w:val="left"/>
      <w:pPr>
        <w:ind w:left="5760" w:hanging="360"/>
      </w:pPr>
    </w:lvl>
    <w:lvl w:ilvl="8" w:tplc="48387848" w:tentative="1">
      <w:start w:val="1"/>
      <w:numFmt w:val="lowerRoman"/>
      <w:lvlText w:val="%9."/>
      <w:lvlJc w:val="right"/>
      <w:pPr>
        <w:ind w:left="6480" w:hanging="180"/>
      </w:pPr>
    </w:lvl>
  </w:abstractNum>
  <w:abstractNum w:abstractNumId="77855965">
    <w:multiLevelType w:val="hybridMultilevel"/>
    <w:lvl w:ilvl="0" w:tplc="21338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55965">
    <w:abstractNumId w:val="77855965"/>
  </w:num>
  <w:num w:numId="77855966">
    <w:abstractNumId w:val="77855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8385739" Type="http://schemas.openxmlformats.org/officeDocument/2006/relationships/numbering" Target="numbering.xml"/><Relationship Id="rId96456185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