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1018744" w:name="document"/>
    <w:bookmarkEnd w:id="61018744"/>
    <w:p/>
    <w:p>
      <w:pPr>
        <w:widowControl w:val="on"/>
        <w:pBdr/>
        <w:spacing w:before="0" w:after="280" w:line="240" w:lineRule="auto"/>
        <w:ind w:left="0" w:right="0"/>
        <w:jc w:val="left"/>
      </w:pPr>
      <w:r>
        <w:rPr>
          <w:rFonts w:ascii="Arial" w:hAnsi="Arial" w:eastAsia="Arial" w:cs="Arial"/>
          <w:color w:val="363A40"/>
          <w:sz w:val="24"/>
          <w:szCs w:val="24"/>
        </w:rPr>
        <w:t xml:space="preserve">Dokument-ID: 983411 | Thomas Primig - Stephanie
Struber - Karin Zahiragic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Rechnungskorrektur</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w:t>
      </w:r>
      <w:r>
        <w:rPr>
          <w:rFonts w:ascii="Arial" w:hAnsi="Arial" w:eastAsia="Arial" w:cs="Arial"/>
          <w:color w:val="000000"/>
          <w:sz w:val="20"/>
          <w:szCs w:val="20"/>
        </w:rPr>
        <w:br/>
        <w:t xml:space="preserve">Ist eine Schluss- oder Teilschlussrechnung so mangelhaft, dass sie
der Aufttaggeber weder prüfen noch berichtigen kann, ist sie dem
Auftragnehmer binnen 30 Tagen zur Verbesserung zurückzustellen und
von diesem binnen 30 Tagen neu vorzulegen (8.3.7.1 ÖNORM B
2110:2023). Fehlen nur einzelne Unterlagen, so ist die Rechnung
innerhalb der Zahlungsfrist so weit als möglich zu prüfen. Der
Auftragnehmer ist sofort nach Feststellung der Unvollständigkeit
der Unterlagen aufzufordern, die fehlenden Unterlagen innerhalb
einer angemessenen Frist nachzubringen. Die Nachforderung aller
fehlenden Unterlagen muss innerhalb der jeweiligen Frist nach
Pkt 8.4.1. ÖNORM B 2110:2023 (30 Tage bzw 60 Tage) erfolgen
(8.3.7. 2 ÖNORM B 2110:2023). Sind für die Abrechnungen
Aufmaßfeststellungen notwendig, sind diese dem Fortgang der
Leistung entsprechend gemeinsam vorzunehmen (8.2.3.1 ÖNORM B
2110:2023). Für Leistungen, deren genaues Aufmaß nach Weiterführung
der Arbeiten nicht mehr oder nur schwer feststellbar ist, hat der
Auftragnehmer rechtzeitig die gemeinsame Feststellung zu
beantragen. Hat er dies versäumt, ist er verpflichtet, auf
seine Kosten jene Maßnahmen zu treffen, die eine nachträgliche
Feststellung der Aufmaße ermöglichen (8.2.3.2 ÖNORM B 2110:2023).
Aufmaße, die aus triftigen Gründen nur von einem der beiden
Vertragspartner festgestellt wurden, sind dem anderen ehestens
schriftlich mitzuteilen. Sie gelten als von diesem anerkannt, wenn
er nicht innerhalb von 2 Wochen ab Erhalt der Mitteilung
schriftlich dagegen Einspruch erhoben hat. Dies gilt auch für
Bestätigungen für Regieleistungen (8.2.3.3 ÖNORM B 2110:2023).
Verweigert ein Vertragspartner die Anerkennung von einseitig
festgestellten Aufmaßen, ist eine neuerliche Aufmaßfeststellung
gemeinsam vorzunehmen. Die Kosten einer neuerlichen Feststellung
trägt der unterliegende Teil (8.2.3.4 ÖNORM B 2110:2023).</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An</w:t>
      </w:r>
      <w:r>
        <w:rPr>
          <w:rFonts w:ascii="Arial" w:hAnsi="Arial" w:eastAsia="Arial" w:cs="Arial"/>
          <w:color w:val="000000"/>
          <w:sz w:val="20"/>
          <w:szCs w:val="20"/>
        </w:rPr>
        <w:br/>
        <w:t xml:space="preserve">… [Auftragnehmer]</w:t>
      </w:r>
      <w:r>
        <w:rPr>
          <w:rFonts w:ascii="Arial" w:hAnsi="Arial" w:eastAsia="Arial" w:cs="Arial"/>
          <w:color w:val="000000"/>
          <w:sz w:val="20"/>
          <w:szCs w:val="20"/>
        </w:rPr>
        <w:br/>
        <w:t xml:space="preserve">… [Anschrift]</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BVH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Betreff: Ihre Schlussrechnung vom … [Datum]</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Rechnungskorrektur</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Ihre Schlussrechnung Nr … vom … [Datum] haben wir am …
[Datum] erhalten. Wir haben eine Überprüfung der verrechneten
Leistungen durchgeführt. Die Ergebnisse unserer Überprüfung
entnehmen Sie bitte beigeschlossenem Korrekturexemplar. Unter
Berücksichtigung der Rechnungskorrekturen ergibt sich ein
anzuweisender Betrag in Höhe von EUR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zzgl 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Gesamtsumme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Diesen Betrag überweisen wir auf das von Ihnen bekanntgegebene
Konto.</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Beilage:</w:t>
      </w:r>
      <w:r>
        <w:rPr>
          <w:rFonts w:ascii="Arial" w:hAnsi="Arial" w:eastAsia="Arial" w:cs="Arial"/>
          <w:color w:val="000000"/>
          <w:sz w:val="20"/>
          <w:szCs w:val="20"/>
        </w:rPr>
        <w:br/>
        <w:t xml:space="preserve">Korrekturexemplar Schlussrechnung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494262" w:name="note1"/>
            <w:bookmarkEnd w:id="19494262"/>
            <w:bookmarkStart w:id="505001027696" w:name="note1"/>
            <w:r>
              <w:rPr>
                <w:rFonts w:ascii="Arial" w:hAnsi="Arial" w:eastAsia="Arial" w:cs="Arial"/>
                <w:b/>
                <w:bCs/>
                <w:color w:val="000000"/>
                <w:position w:val="0"/>
                <w:sz w:val="20"/>
                <w:szCs w:val="20"/>
              </w:rPr>
              <w:t xml:space="preserve">[1]</w:t>
            </w:r>
            <w:bookmarkEnd w:id="50500102769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Rechnungslegung:</w:t>
            </w:r>
            <w:r>
              <w:rPr>
                <w:rFonts w:ascii="Arial" w:hAnsi="Arial" w:eastAsia="Arial" w:cs="Arial"/>
                <w:color w:val="000000"/>
                <w:position w:val="0"/>
                <w:sz w:val="20"/>
                <w:szCs w:val="20"/>
              </w:rPr>
              <w:t xml:space="preserve"> Rechnungen sind, sofern nicht
anders vereinbart ist, in einfacher Ausfertigung vorzulegen.
Rechnungen sind in einer Form zu erstellen, die eine Prüfung mit
zumutbarem Aufwand ermöglicht. In den Rechnungen müssen der Name
und die Anschrift des Auftraggebers und des Auftragnehmers sowie
der Zeitraum, über den sich die Leistungserbringung erstreckt,
angegeben sein. Die Leistungen sind kurz zu bezeichnen und –
ausgenommen bei Pauschalabrechnungen – in der Reihenfolge der
Positionen des Leistungsverzeichnisses anzuführen. Die zur Prüfung
notwendigen Unterlagen (Mengenabrechnungen, Abrechnungspläne,
Preisumrechnungen, Zeichnungen, Lieferscheine, Stundennachweise,
Leistungsberichte udgl) sind beizulegen. In jeder Rechnung ist der
betreffende Auftrag entsprechend den Vorgaben des Auftraggebers zu
bezeichnen (zB Geschäftszahl, Datum). Sind bei Verträgen, bei denen
Leistungen nach Einheits- oder Pauschalpreisen abzurechnen sind,
auch Regieleistungen angefallen, sind diese gesondert zu verrechnen
(8.3.1. ÖNORM B 2110:2023).</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594051" w:name="note2"/>
            <w:bookmarkEnd w:id="65594051"/>
            <w:bookmarkStart w:id="140691910264" w:name="note2"/>
            <w:r>
              <w:rPr>
                <w:rFonts w:ascii="Arial" w:hAnsi="Arial" w:eastAsia="Arial" w:cs="Arial"/>
                <w:b/>
                <w:bCs/>
                <w:color w:val="000000"/>
                <w:position w:val="0"/>
                <w:sz w:val="20"/>
                <w:szCs w:val="20"/>
              </w:rPr>
              <w:t xml:space="preserve">[2]</w:t>
            </w:r>
            <w:bookmarkEnd w:id="14069191026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Schlussrechnung:</w:t>
            </w:r>
            <w:r>
              <w:rPr>
                <w:rFonts w:ascii="Arial" w:hAnsi="Arial" w:eastAsia="Arial" w:cs="Arial"/>
                <w:color w:val="000000"/>
                <w:position w:val="0"/>
                <w:sz w:val="20"/>
                <w:szCs w:val="20"/>
              </w:rPr>
              <w:t xml:space="preserve"> Die Gesamtleistung ist in der
Schlussrechnung, die als solche zu bezeichnen ist, abzurechnen.
Etwaige Abschlagsrechnungen und -zahlungen sowie Haftungsrücklässe,
Vertragsstrafen, Prämien udgl sind anzuführen (8.3.4. ÖNORM B
2110:2023). Schluss- und Teilschlussrechnungen sind spätestens zwei
Monate nach der vertragsgemäßen Erbringung der Leistung vorzulegen,
sofern im Vertrag keine andere Frist vereinbart wurde (8.3.6.2.
ÖNORM B 2110:2023).</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772298" w:name="note3"/>
            <w:bookmarkEnd w:id="36772298"/>
            <w:bookmarkStart w:id="6635896803242" w:name="note3"/>
            <w:r>
              <w:rPr>
                <w:rFonts w:ascii="Arial" w:hAnsi="Arial" w:eastAsia="Arial" w:cs="Arial"/>
                <w:b/>
                <w:bCs/>
                <w:color w:val="000000"/>
                <w:position w:val="0"/>
                <w:sz w:val="20"/>
                <w:szCs w:val="20"/>
              </w:rPr>
              <w:t xml:space="preserve">[3]</w:t>
            </w:r>
            <w:bookmarkEnd w:id="663589680324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Annahme:</w:t>
            </w:r>
            <w:r>
              <w:rPr>
                <w:rFonts w:ascii="Arial" w:hAnsi="Arial" w:eastAsia="Arial" w:cs="Arial"/>
                <w:color w:val="000000"/>
                <w:position w:val="0"/>
                <w:sz w:val="20"/>
                <w:szCs w:val="20"/>
              </w:rPr>
              <w:t xml:space="preserve"> Die Annahme der Schlusszahlung
aufgrund einer Schluss- oder Teilschlussrechnung schließt
nachträgliche Forderungen für die vertragsgemäß erbrachten
Leistungen aus, wenn nicht ein Vorbehalt in der Rechnung enthalten
ist oder binnen drei Monaten nach Erhalt der Zahlung schriftlich
erhoben wird. Der Vorbehalt ist schriftlich zu begründen. Weicht
die Schlussrechnung vom Rechnungsbetrag ab, beginnt die Frist von
drei Monaten frühestens mit schriftlicher Bekanntgabe der
nachvollziehbaren Herleitung des Differenzbetrages durch den
Auftraggeber (8.4.2. ÖNORM B 2110: 2023).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2249861" w:name="note4"/>
            <w:bookmarkEnd w:id="92249861"/>
            <w:bookmarkStart w:id="4258529767108" w:name="note4"/>
            <w:r>
              <w:rPr>
                <w:rFonts w:ascii="Arial" w:hAnsi="Arial" w:eastAsia="Arial" w:cs="Arial"/>
                <w:b/>
                <w:bCs/>
                <w:color w:val="000000"/>
                <w:position w:val="0"/>
                <w:sz w:val="20"/>
                <w:szCs w:val="20"/>
              </w:rPr>
              <w:t xml:space="preserve">[4]</w:t>
            </w:r>
            <w:bookmarkEnd w:id="425852976710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Geltendmachung von Nachforderungen und
Überzahlungen:</w:t>
            </w:r>
            <w:r>
              <w:rPr>
                <w:rFonts w:ascii="Arial" w:hAnsi="Arial" w:eastAsia="Arial" w:cs="Arial"/>
                <w:color w:val="000000"/>
                <w:position w:val="0"/>
                <w:sz w:val="20"/>
                <w:szCs w:val="20"/>
              </w:rPr>
              <w:t xml:space="preserve"> Wurde ein Vorbehalt erhoben, können die
entsprechenden Forderungen noch innerhalb von drei Jahren ab
Fälligkeit der Schlusszahlung geltend gemacht werden. Sind
Überzahlungen erfolgt, ist die Rückforderung innerhalb von drei
Jahren ab Überzahlung zulässig (8.4.3. ÖNORM B 2110: 2023).</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20093">
    <w:multiLevelType w:val="hybridMultilevel"/>
    <w:lvl w:ilvl="0" w:tplc="70158399">
      <w:start w:val="1"/>
      <w:numFmt w:val="decimal"/>
      <w:lvlText w:val="%1."/>
      <w:lvlJc w:val="left"/>
      <w:pPr>
        <w:ind w:left="720" w:hanging="360"/>
      </w:pPr>
    </w:lvl>
    <w:lvl w:ilvl="1" w:tplc="70158399" w:tentative="1">
      <w:start w:val="1"/>
      <w:numFmt w:val="lowerLetter"/>
      <w:lvlText w:val="%2."/>
      <w:lvlJc w:val="left"/>
      <w:pPr>
        <w:ind w:left="1440" w:hanging="360"/>
      </w:pPr>
    </w:lvl>
    <w:lvl w:ilvl="2" w:tplc="70158399" w:tentative="1">
      <w:start w:val="1"/>
      <w:numFmt w:val="lowerRoman"/>
      <w:lvlText w:val="%3."/>
      <w:lvlJc w:val="right"/>
      <w:pPr>
        <w:ind w:left="2160" w:hanging="180"/>
      </w:pPr>
    </w:lvl>
    <w:lvl w:ilvl="3" w:tplc="70158399" w:tentative="1">
      <w:start w:val="1"/>
      <w:numFmt w:val="decimal"/>
      <w:lvlText w:val="%4."/>
      <w:lvlJc w:val="left"/>
      <w:pPr>
        <w:ind w:left="2880" w:hanging="360"/>
      </w:pPr>
    </w:lvl>
    <w:lvl w:ilvl="4" w:tplc="70158399" w:tentative="1">
      <w:start w:val="1"/>
      <w:numFmt w:val="lowerLetter"/>
      <w:lvlText w:val="%5."/>
      <w:lvlJc w:val="left"/>
      <w:pPr>
        <w:ind w:left="3600" w:hanging="360"/>
      </w:pPr>
    </w:lvl>
    <w:lvl w:ilvl="5" w:tplc="70158399" w:tentative="1">
      <w:start w:val="1"/>
      <w:numFmt w:val="lowerRoman"/>
      <w:lvlText w:val="%6."/>
      <w:lvlJc w:val="right"/>
      <w:pPr>
        <w:ind w:left="4320" w:hanging="180"/>
      </w:pPr>
    </w:lvl>
    <w:lvl w:ilvl="6" w:tplc="70158399" w:tentative="1">
      <w:start w:val="1"/>
      <w:numFmt w:val="decimal"/>
      <w:lvlText w:val="%7."/>
      <w:lvlJc w:val="left"/>
      <w:pPr>
        <w:ind w:left="5040" w:hanging="360"/>
      </w:pPr>
    </w:lvl>
    <w:lvl w:ilvl="7" w:tplc="70158399" w:tentative="1">
      <w:start w:val="1"/>
      <w:numFmt w:val="lowerLetter"/>
      <w:lvlText w:val="%8."/>
      <w:lvlJc w:val="left"/>
      <w:pPr>
        <w:ind w:left="5760" w:hanging="360"/>
      </w:pPr>
    </w:lvl>
    <w:lvl w:ilvl="8" w:tplc="70158399" w:tentative="1">
      <w:start w:val="1"/>
      <w:numFmt w:val="lowerRoman"/>
      <w:lvlText w:val="%9."/>
      <w:lvlJc w:val="right"/>
      <w:pPr>
        <w:ind w:left="6480" w:hanging="180"/>
      </w:pPr>
    </w:lvl>
  </w:abstractNum>
  <w:abstractNum w:abstractNumId="49920092">
    <w:multiLevelType w:val="hybridMultilevel"/>
    <w:lvl w:ilvl="0" w:tplc="87530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20092">
    <w:abstractNumId w:val="49920092"/>
  </w:num>
  <w:num w:numId="49920093">
    <w:abstractNumId w:val="49920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54662168" Type="http://schemas.openxmlformats.org/officeDocument/2006/relationships/numbering" Target="numbering.xml"/><Relationship Id="rId52020638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