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3808119" w:name="document"/>
    <w:bookmarkEnd w:id="23808119"/>
    <w:p/>
    <w:p>
      <w:pPr>
        <w:widowControl w:val="on"/>
        <w:pBdr/>
        <w:spacing w:before="0" w:after="280" w:line="240" w:lineRule="auto"/>
        <w:ind w:left="0" w:right="0"/>
        <w:jc w:val="left"/>
      </w:pPr>
      <w:r>
        <w:rPr>
          <w:rFonts w:ascii="Arial" w:hAnsi="Arial" w:eastAsia="Arial" w:cs="Arial"/>
          <w:color w:val="363A40"/>
          <w:sz w:val="24"/>
          <w:szCs w:val="24"/>
        </w:rPr>
        <w:t xml:space="preserve">Dokument-ID: 983779 | Agnes Eigner | Muster |
Checkliste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Checkliste Dienstbarkeitsverträge</w:t>
      </w:r>
    </w:p>
    <w:p>
      <w:pPr>
        <w:numPr>
          <w:ilvl w:val="0"/>
          <w:numId w:val="60330810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Soll eine persönliche Dienstbarkeit zugunsten einer bestimmten
Person oder eine Grunddienstbarkeit, dh eine Dienstbarkeit
zugunsten des jeweiligen Eigentümers eines bestimmten Grundstücks
begründet werden?</w:t>
      </w:r>
    </w:p>
    <w:p>
      <w:pPr>
        <w:numPr>
          <w:ilvl w:val="0"/>
          <w:numId w:val="60330810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Art und Umfang der Dienstbarkeit sowie die Rechte und Pflichten
der einzelnen Vertragsparteien sollten im Vertragstext möglichst
genau beschrieben werden.</w:t>
      </w:r>
    </w:p>
    <w:p>
      <w:pPr>
        <w:numPr>
          <w:ilvl w:val="0"/>
          <w:numId w:val="60330810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Sollte keine persönliche Dienstbarkeit, welche spätestens mit
dem Tod der berechtigten Person erlischt, eingeräumt werden, so ist
zu überlegen, ob und unter welchen Voraussetzungen die
Dienstbarkeit erlöschen soll bzw ob und zu welchen Bedingungen eine
Kündbarkeit des Dienstvertrages vereinbart werden soll. So ist auch
die Vereinbarung von zeitlich befristeten Dienstbarkeiten sowohl
bei persönlichen Dienstbarkeiten als auch bei Grunddienstbarkeiten
möglich.</w:t>
      </w:r>
    </w:p>
    <w:p>
      <w:pPr>
        <w:numPr>
          <w:ilvl w:val="0"/>
          <w:numId w:val="60330810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Für den Fall, dass die Dienstbarkeit unter bestimmten
Voraussetzungen erlischt oder der Dienstbarkeitsvertrag gekündigt
werden kann, empfiehlt es sich, eine Regelung betreffend die
Löschung der Dienstbarkeit (zB Verpflichtung zur Ausstellung einer
Löschungserklärung) vorzusehen.</w:t>
      </w:r>
    </w:p>
    <w:p>
      <w:pPr>
        <w:numPr>
          <w:ilvl w:val="0"/>
          <w:numId w:val="60330810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Es besteht die Möglichkeit, im Dienstbarkeitsvertrag Regelungen
für den Verkauf bzw die Teilung des herrschenden bzw dienenden
Grundstücks vorzusehen.</w:t>
      </w:r>
    </w:p>
    <w:p>
      <w:pPr>
        <w:numPr>
          <w:ilvl w:val="0"/>
          <w:numId w:val="60330810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Soweit sich die Einräumung einer Dienstbarkeit auf die
Errichtung eines Weges bzw von Baulichkeiten bezieht, empfiehlt es
sich, deren Erhaltung sowie die Tragung der Kosten hierfür zu
regeln.</w:t>
      </w:r>
    </w:p>
    <w:p>
      <w:pPr>
        <w:numPr>
          <w:ilvl w:val="0"/>
          <w:numId w:val="60330810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 beachten ist, dass eine Dienstbarkeit den Eigentümer des
dienenden Grundstücks entweder zur Duldung oder Unterlassung von
Handlungen verpflichtet, jedoch – im Gegensatz zu den Reallasten –
nicht zu aktiven Handlungen oder der Tragung bestimmter
Aufwendungen.</w:t>
      </w:r>
    </w:p>
    <w:p>
      <w:pPr>
        <w:numPr>
          <w:ilvl w:val="0"/>
          <w:numId w:val="60330810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Wird mit der Einräumung einer Dienstbarkeit eine bestimmte
Haftungsmöglichkeit begründet (zB Wegehalterhaftung), so sollte
geregelt werden, wen die Haftung trifft. Selbiges gilt für die
allfällige Verpflichtung zur Einhaltung öffentlich-rechtlicher
Verpflichtungen (zB Schneeräumung).</w:t>
      </w:r>
    </w:p>
    <w:p>
      <w:pPr>
        <w:numPr>
          <w:ilvl w:val="0"/>
          <w:numId w:val="60330810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Sollte sich die Dienstbarkeit auf den bestimmten Bereich eines
Grundstücks beziehen, so sollte dem Dienstvertrag ein Plan
angeschlossen werden, in welchem jener Bereich, welcher von der
Dienstbarkeit betroffen ist, möglichst genau dargestellt und leicht
erkennbar ist (sowohl bei Farb- als auch Schwarz-weiß-Scans bzw
Drucken). Dies empfiehlt sich auch im Hinblick auf eine allfällige
spätere Teilung des dienenden Grundstücks.</w:t>
      </w:r>
    </w:p>
    <w:p>
      <w:pPr>
        <w:numPr>
          <w:ilvl w:val="0"/>
          <w:numId w:val="60330810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Sollte im Lastenblatt des dienenden Grundstücks bereits ein
Belastungsverbot einverleibt sein, bedarf die Einverleibung der
Dienstbarkeit im Grundbuch der Zustimmung des jeweils
Verbotsberechtigten. In diesem Fall ist es möglich, dass der
Verbotsberechtigte dem Dienstbarkeitsvertrag beitritt und seine
Zustimmung zur Belastung erteilt.</w:t>
      </w:r>
    </w:p>
    <w:p>
      <w:pPr>
        <w:numPr>
          <w:ilvl w:val="0"/>
          <w:numId w:val="60330810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Im Falle von Namensänderungen (beispielsweise dem zwischen dem
Erwerb der Liegenschaft und dem Vertragsabschluss) ist bei
natürlichen Personen spätestens bei der Einbringung des
Grundbuchsgesuches eine Ausfertigung jener Urkunde, aus welcher
sich die Namensänderung ergibt (zB Heiratsurkunde, Heiratsurkunde
mit Vermerk der Scheidung und Wiederannahme des Familiennamens vor
der Eheschließung, Bescheid der Verwaltungsbehörde mit Bestätigung
der Rechtskraft) vorzulegen. Es ist jedoch auch möglich, die
entsprechende Urkunde dem Vertrag über die Bestellung der
Dienstbarkeit in Kopie als integrierender Bestandteil des Vertrages
anzuschließen und im Vertragstext auf die erfolgte Namensänderung
(beispielsweise im Rahmen der Präambel) einzugehen.</w:t>
      </w:r>
    </w:p>
    <w:p>
      <w:pPr>
        <w:numPr>
          <w:ilvl w:val="0"/>
          <w:numId w:val="60330810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Nachweis einer Änderung des Firmenwortlautes erfolgt bei
juristischen Personen durch Vorlage eines notariell beglaubigten
Auszuges aus dem Firmenbuch mit historischen Daten oder einer
entsprechenden Amtsbestätigung über die Änderung des
Firmenwortlautes.</w:t>
      </w:r>
    </w:p>
    <w:p>
      <w:pPr>
        <w:numPr>
          <w:ilvl w:val="0"/>
          <w:numId w:val="60330810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 beachten ist, dass der Dienstbarkeitsvertrag dem
Formerfordernis des § 31 Grundbuchsgesetz entsprechen muss, dh
die Einverleibung aufgrund eines Dienstbarkeitsvertrages nur dann
erfolgen kann, wenn die Unterschriften der Vertragsparteien
gerichtlich oder notariell beglaubigt sind und der
Beglaubigungsvermerk bei natürlichen Personen auch das Geburtsdatum
enthält.</w:t>
      </w:r>
    </w:p>
    <w:p>
      <w:pPr>
        <w:numPr>
          <w:ilvl w:val="0"/>
          <w:numId w:val="60330810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Es ist darauf zu achten, dass der Dienstbarkeitsvertrag in der
allenfalls für seine Gültigkeit erforderlichen Form (vgl § 1
Notariatszwangsgesetz) abgeschlossen wird, wenn beispielsweise die
Einräumung einer Dienstbarkeit im Rahmen eines Schenkungsvertrages
ohne wirkliche Übergabe vereinbart wird.</w:t>
      </w:r>
    </w:p>
    <w:p>
      <w:pPr>
        <w:numPr>
          <w:ilvl w:val="0"/>
          <w:numId w:val="60330810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Soll die Dienstbarkeit gegen ein Entgelt eingeräumt werden, so
ist zu überlegen, ob dieses einmalig oder regelmäßig
(beispielsweise monatlich oder jährlich) ausbezahlt wird.</w:t>
      </w:r>
    </w:p>
    <w:p>
      <w:pPr>
        <w:numPr>
          <w:ilvl w:val="0"/>
          <w:numId w:val="60330810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Betreffend die Höhe eines allfälligen Entgelts können je nach
Art und Weise der Beeinträchtigung auch die ortsüblichen Miet- bzw
Pachtzinse zur Orientierung für die Höhe des Entgelts herangezogen
werden.</w:t>
      </w:r>
    </w:p>
    <w:p>
      <w:pPr>
        <w:numPr>
          <w:ilvl w:val="0"/>
          <w:numId w:val="60330810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Vergebührung eines entgeltlichen Vertrages: Im Falle der
Entgeltlichkeit des Dienstvertrages ist dieser gem § 33
TP 9 Gebührengesetz zu vergebühren, wobei die Rechtsgeschäftsgebühr
2 % des vereinbarten Entgelts beträgt.</w:t>
      </w:r>
    </w:p>
    <w:p>
      <w:pPr>
        <w:numPr>
          <w:ilvl w:val="0"/>
          <w:numId w:val="60330810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der Gestaltung der Aufsandungserklärung ist zu beachten,
dass die Grunddienstbarkeit nicht nur im Lastenblatt (C-Blatt) des
dienenden Grundstücks einzuverleiben, sondern auch in der Einlage
des herrschenden Grundstücks im Gutsbestandsblatt (A2-Blatt)
ersichtlich zu machen ist.</w:t>
      </w:r>
    </w:p>
    <w:p>
      <w:pPr>
        <w:numPr>
          <w:ilvl w:val="0"/>
          <w:numId w:val="60330810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Wenn im Rahmen eines Dienstbarkeitsvertrages auf eine bereits
in der Urkundensammlung des Grundbuchs vorhandene Urkunde verwiesen
werden sollte, empfiehlt es sich durch Einsichtnahme zu überprüfen,
ob sich bei Gericht tatsächlich das Original der Urkunde befindet.
In der Vergangenheit wurden sehr oft lediglich beglaubigte
(schwarz-weiß) Kopien der Originalurkunde in die Urkundensammlung
des Grundbuchsgerichts gegeben, sodass man nicht auf diese
verweisen konnte.</w:t>
      </w:r>
    </w:p>
    <w:p>
      <w:pPr>
        <w:numPr>
          <w:ilvl w:val="0"/>
          <w:numId w:val="60330810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 beachten ist, dass im Falle von Teilungen eines Grundstücks
die Dienstbarkeiten grundsätzlich mit zu übertragen sind. Es
empfiehlt sich daher bereits im Dienstbarkeitsvertrag den jeweils
in Anspruch genommenen Teil eines Grundstücks möglichst genau zu
definieren, um eine spätere Lastenfreistellung zu erleichtern.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330810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2483533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1751674">
    <w:multiLevelType w:val="hybridMultilevel"/>
    <w:lvl w:ilvl="0" w:tplc="42143035">
      <w:start w:val="1"/>
      <w:numFmt w:val="decimal"/>
      <w:lvlText w:val="%1."/>
      <w:lvlJc w:val="left"/>
      <w:pPr>
        <w:ind w:left="720" w:hanging="360"/>
      </w:pPr>
    </w:lvl>
    <w:lvl w:ilvl="1" w:tplc="42143035" w:tentative="1">
      <w:start w:val="1"/>
      <w:numFmt w:val="lowerLetter"/>
      <w:lvlText w:val="%2."/>
      <w:lvlJc w:val="left"/>
      <w:pPr>
        <w:ind w:left="1440" w:hanging="360"/>
      </w:pPr>
    </w:lvl>
    <w:lvl w:ilvl="2" w:tplc="42143035" w:tentative="1">
      <w:start w:val="1"/>
      <w:numFmt w:val="lowerRoman"/>
      <w:lvlText w:val="%3."/>
      <w:lvlJc w:val="right"/>
      <w:pPr>
        <w:ind w:left="2160" w:hanging="180"/>
      </w:pPr>
    </w:lvl>
    <w:lvl w:ilvl="3" w:tplc="42143035" w:tentative="1">
      <w:start w:val="1"/>
      <w:numFmt w:val="decimal"/>
      <w:lvlText w:val="%4."/>
      <w:lvlJc w:val="left"/>
      <w:pPr>
        <w:ind w:left="2880" w:hanging="360"/>
      </w:pPr>
    </w:lvl>
    <w:lvl w:ilvl="4" w:tplc="42143035" w:tentative="1">
      <w:start w:val="1"/>
      <w:numFmt w:val="lowerLetter"/>
      <w:lvlText w:val="%5."/>
      <w:lvlJc w:val="left"/>
      <w:pPr>
        <w:ind w:left="3600" w:hanging="360"/>
      </w:pPr>
    </w:lvl>
    <w:lvl w:ilvl="5" w:tplc="42143035" w:tentative="1">
      <w:start w:val="1"/>
      <w:numFmt w:val="lowerRoman"/>
      <w:lvlText w:val="%6."/>
      <w:lvlJc w:val="right"/>
      <w:pPr>
        <w:ind w:left="4320" w:hanging="180"/>
      </w:pPr>
    </w:lvl>
    <w:lvl w:ilvl="6" w:tplc="42143035" w:tentative="1">
      <w:start w:val="1"/>
      <w:numFmt w:val="decimal"/>
      <w:lvlText w:val="%7."/>
      <w:lvlJc w:val="left"/>
      <w:pPr>
        <w:ind w:left="5040" w:hanging="360"/>
      </w:pPr>
    </w:lvl>
    <w:lvl w:ilvl="7" w:tplc="42143035" w:tentative="1">
      <w:start w:val="1"/>
      <w:numFmt w:val="lowerLetter"/>
      <w:lvlText w:val="%8."/>
      <w:lvlJc w:val="left"/>
      <w:pPr>
        <w:ind w:left="5760" w:hanging="360"/>
      </w:pPr>
    </w:lvl>
    <w:lvl w:ilvl="8" w:tplc="42143035" w:tentative="1">
      <w:start w:val="1"/>
      <w:numFmt w:val="lowerRoman"/>
      <w:lvlText w:val="%9."/>
      <w:lvlJc w:val="right"/>
      <w:pPr>
        <w:ind w:left="6480" w:hanging="180"/>
      </w:pPr>
    </w:lvl>
  </w:abstractNum>
  <w:abstractNum w:abstractNumId="11751673">
    <w:multiLevelType w:val="hybridMultilevel"/>
    <w:lvl w:ilvl="0" w:tplc="424544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751673">
    <w:abstractNumId w:val="11751673"/>
  </w:num>
  <w:num w:numId="11751674">
    <w:abstractNumId w:val="11751674"/>
  </w:num>
  <w:num w:numId="724835336">
    <w:abstractNumId w:val="724835336"/>
  </w:num>
  <w:num w:numId="603308109">
    <w:abstractNumId w:val="6033081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27346528" Type="http://schemas.openxmlformats.org/officeDocument/2006/relationships/numbering" Target="numbering.xml"/><Relationship Id="rId45876279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