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6262264" w:name="document"/>
    <w:bookmarkEnd w:id="26262264"/>
    <w:p/>
    <w:p>
      <w:pPr>
        <w:widowControl w:val="on"/>
        <w:pBdr/>
        <w:spacing w:before="0" w:after="280" w:line="240" w:lineRule="auto"/>
        <w:ind w:left="0" w:right="0"/>
        <w:jc w:val="left"/>
      </w:pPr>
      <w:r>
        <w:rPr>
          <w:rFonts w:ascii="Arial" w:hAnsi="Arial" w:eastAsia="Arial" w:cs="Arial"/>
          <w:color w:val="363A40"/>
          <w:sz w:val="24"/>
          <w:szCs w:val="24"/>
        </w:rPr>
        <w:t xml:space="preserve">Dokument-ID: 983254 | Karin Zahiragic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Wasserbewilligung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 rechtliche Grundlage des Wasserrechts in Bezug auf die
Wasserentnahme und Wasserableitung ist das Wasserrechtsgesetz 1959
(WRG 1959) sowie die zahlreichen Abwasseremissionsverordnungen, wie
beispielsweise die Allgemeine Abwasseremissionsverordnung (AAEV)
und vor allem die Richtlinie des europäischen Parlaments und des
Rates vom 23.10.2000 zur Schaffung eines Ordnungsrahmens für
Maßnahmen der Gemeinschaft im Bereich der Wasserpolitik
(Wasserrichtlinie).</w:t>
      </w:r>
    </w:p>
    <w:p>
      <w:pPr>
        <w:widowControl w:val="on"/>
        <w:pBdr/>
        <w:spacing w:before="140" w:after="240" w:line="288" w:lineRule="auto"/>
        <w:ind w:left="0" w:right="0"/>
        <w:jc w:val="left"/>
      </w:pPr>
      <w:r>
        <w:rPr>
          <w:rFonts w:ascii="Arial" w:hAnsi="Arial" w:eastAsia="Arial" w:cs="Arial"/>
          <w:color w:val="000000"/>
          <w:sz w:val="20"/>
          <w:szCs w:val="20"/>
        </w:rPr>
        <w:t xml:space="preserve">Das Wasserrechtsgesetz 1959 beinhaltet insbesondere die
Unterscheidung zwischen folgenden Arten von Gewässern: öffentliche
und private Gewässer, Tagwässer und Grundwasser, stehende Gewässer
(zB Seen und Teiche) und fließende Gewässer (zB Flüsse und
Bäche).</w:t>
      </w:r>
    </w:p>
    <w:p>
      <w:pPr>
        <w:widowControl w:val="on"/>
        <w:pBdr/>
        <w:spacing w:before="140" w:after="240" w:line="288" w:lineRule="auto"/>
        <w:ind w:left="0" w:right="0"/>
        <w:jc w:val="left"/>
      </w:pPr>
      <w:r>
        <w:rPr>
          <w:rFonts w:ascii="Arial" w:hAnsi="Arial" w:eastAsia="Arial" w:cs="Arial"/>
          <w:color w:val="000000"/>
          <w:sz w:val="20"/>
          <w:szCs w:val="20"/>
        </w:rPr>
        <w:t xml:space="preserve">Die Einteilung in öffentliche und private Gewässer ist im
Hinblick auf die verschiedenen Anforderungen für Wassernutzungen an
öffentlichen und privaten Gewässern entscheidend.</w:t>
      </w:r>
    </w:p>
    <w:p>
      <w:pPr>
        <w:widowControl w:val="on"/>
        <w:pBdr/>
        <w:spacing w:before="140" w:after="240" w:line="288" w:lineRule="auto"/>
        <w:ind w:left="0" w:right="0"/>
        <w:jc w:val="left"/>
      </w:pPr>
      <w:r>
        <w:rPr>
          <w:rFonts w:ascii="Arial" w:hAnsi="Arial" w:eastAsia="Arial" w:cs="Arial"/>
          <w:color w:val="000000"/>
          <w:sz w:val="20"/>
          <w:szCs w:val="20"/>
        </w:rPr>
        <w:t xml:space="preserve">Gem § 8 Abs 1 und Abs 2 WRG ist der
Gemeingebrauch an öffentlichen Gewässern sowie der Gemeingebrauch
an Privatgewässern ohne Einholung einer besonderen Erlaubnis und
Bewilligung der Wasserrechtsbehörde unentgeltlich möglich. Gem
§ 8 Abs 4 WRG kann die Wasserrechtsbehörde über die
Ausübung des Gemeingebrauchs wasserpolizeiliche Anordnungen
treffen, durch die das öffentliche Interesse und die Ausübung des
Gemeingebrauchs durch andere gewahrt oder die Grenzen des
Gemeingebrauchs näher bezeichnet werden.</w:t>
      </w:r>
    </w:p>
    <w:p>
      <w:pPr>
        <w:widowControl w:val="on"/>
        <w:pBdr/>
        <w:spacing w:before="140" w:after="240" w:line="288" w:lineRule="auto"/>
        <w:ind w:left="0" w:right="0"/>
        <w:jc w:val="left"/>
      </w:pPr>
      <w:r>
        <w:rPr>
          <w:rFonts w:ascii="Arial" w:hAnsi="Arial" w:eastAsia="Arial" w:cs="Arial"/>
          <w:color w:val="000000"/>
          <w:sz w:val="20"/>
          <w:szCs w:val="20"/>
        </w:rPr>
        <w:t xml:space="preserve">Gem § 9 Abs 1 WRG ist bei jeder Überschreitung des
Gemeingebrauchs bei öffentlichen Gewässern sowie bei der Errichtung
oder Änderung der zur Benutzung der Gewässer dienenden Anlagen die
Einholung einer wasserrechtlichen Bewilligung erforderlich. Auf
Antrag hat die Wasserrechtsbehörde festzustellen, ob eine bestimmte
Benutzung eines öffentlichen Gewässers über den Gemeingebrauch
hinausgeht.</w:t>
      </w:r>
    </w:p>
    <w:p>
      <w:pPr>
        <w:widowControl w:val="on"/>
        <w:pBdr/>
        <w:spacing w:before="140" w:after="240" w:line="288" w:lineRule="auto"/>
        <w:ind w:left="0" w:right="0"/>
        <w:jc w:val="left"/>
      </w:pPr>
      <w:r>
        <w:rPr>
          <w:rFonts w:ascii="Arial" w:hAnsi="Arial" w:eastAsia="Arial" w:cs="Arial"/>
          <w:color w:val="000000"/>
          <w:sz w:val="20"/>
          <w:szCs w:val="20"/>
        </w:rPr>
        <w:t xml:space="preserve">Gem § 9 Abs 2 WRG ist für die Benutzung von
Privatgewässern oder für die Errichtung oder Änderung der hierzu
dienenden Anlagen die Einholung einer wasserrechtlichen Bewilligung
nur dann erforderlich, wenn hierdurch auf fremde Rechte oder
infolge eines Zusammenhanges mit öffentlichen Gewässern oder
fremden Privatgewässern auf das Gefälle, auf den Lauf oder die
Beschaffenheit des Wassers, namentlich in gesundheitsschädlicher
Weise, oder auf die Höhe des Wasserstandes in diesen Gewässern
Einfluss geübt oder eine Gefährdung der Ufer, eine Überschwemmung
oder Versumpfung fremder Grundstücke herbeigeführt werden kann.</w:t>
      </w:r>
    </w:p>
    <w:p>
      <w:pPr>
        <w:widowControl w:val="on"/>
        <w:pBdr/>
        <w:spacing w:before="140" w:after="240" w:line="288" w:lineRule="auto"/>
        <w:ind w:left="0" w:right="0"/>
        <w:jc w:val="left"/>
      </w:pPr>
      <w:r>
        <w:rPr>
          <w:rFonts w:ascii="Arial" w:hAnsi="Arial" w:eastAsia="Arial" w:cs="Arial"/>
          <w:color w:val="000000"/>
          <w:sz w:val="20"/>
          <w:szCs w:val="20"/>
        </w:rPr>
        <w:t xml:space="preserve">Gem § 10 WRG 1959 ist die Benutzung des Grundwassers für
den benötigten Haus- und Wirtschaftsbedarf bewilligungsfrei, wenn
die Förderung durch handbetriebene Pumpen oder Schöpfwerke erfolgt
oder die Entnahme des Grundwassers in einem angemessenen Verhältnis
zum eigenen Grund steht. Über die Grenze des § 10 Abs 1
WRG hinaus hat der jeweilige Grundeigentümer eine behördliche
Bewilligung der Wasserrechtsbehörde einzuholen. Dies hat zur Folge,
dass er zur Benutzung des Grundwassers, wenn dieses nicht für den
notwendigen Haus- und Wirtschaftsbedarf erfolgt oder nicht in einem
angemessenen Verhältnis zum eigenen Grundstück steht, der Einholung
einer wasserrechtlichen Bewilligung bedarf.</w:t>
      </w:r>
    </w:p>
    <w:p>
      <w:pPr>
        <w:widowControl w:val="on"/>
        <w:pBdr/>
        <w:spacing w:before="140" w:after="240" w:line="288" w:lineRule="auto"/>
        <w:ind w:left="0" w:right="0"/>
        <w:jc w:val="left"/>
      </w:pPr>
      <w:r>
        <w:rPr>
          <w:rFonts w:ascii="Arial" w:hAnsi="Arial" w:eastAsia="Arial" w:cs="Arial"/>
          <w:color w:val="000000"/>
          <w:sz w:val="20"/>
          <w:szCs w:val="20"/>
        </w:rPr>
        <w:t xml:space="preserve">Der Generalgenehmigungstatbestand ist in § 32 WRG 1959
normiert. Demnach sind Einwirkungen auf Gewässer, die unmittelbar
oder mittelbar deren Beschaffenheit beeinträchtigen, nur nach
Einholung einer wasserrechtlichen Bewilligung zulässig. Bloß
geringfügige Einwirkungen, wie der Gemeingebrauch und die
ordnungsgemäße land- und forstwirtschaftliche Nutzung gelten bis
zum Beweis des Gegenteils nicht als Beeinträchtigung. Als
Gemeingebrauch ist anzusehen, in öffentlichen Gewässern zu baden
und daraus zu trinken sowie aus privaten Gewässern zu trinken.</w:t>
      </w:r>
    </w:p>
    <w:p>
      <w:pPr>
        <w:widowControl w:val="on"/>
        <w:pBdr/>
        <w:spacing w:before="140" w:after="240" w:line="288" w:lineRule="auto"/>
        <w:ind w:left="0" w:right="0"/>
        <w:jc w:val="left"/>
      </w:pPr>
      <w:r>
        <w:rPr>
          <w:rFonts w:ascii="Arial" w:hAnsi="Arial" w:eastAsia="Arial" w:cs="Arial"/>
          <w:color w:val="000000"/>
          <w:sz w:val="20"/>
          <w:szCs w:val="20"/>
        </w:rPr>
        <w:t xml:space="preserve">Der Einholung einer wasserrechtlichen Bewilligung bedürfen
insbesondere:</w:t>
      </w:r>
    </w:p>
    <w:p>
      <w:pPr>
        <w:numPr>
          <w:ilvl w:val="0"/>
          <w:numId w:val="7105837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Einbringung von Stoffen in festem, flüssigem oder
gasförmigen Zustand in Gewässer (Einbringungen) mit den dafür
erforderlichen Anlagen</w:t>
      </w:r>
    </w:p>
    <w:p>
      <w:pPr>
        <w:numPr>
          <w:ilvl w:val="0"/>
          <w:numId w:val="7105837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Einwirkung auf Gewässer durch ionisierende Strahlung oder
Temperaturänderung</w:t>
      </w:r>
    </w:p>
    <w:p>
      <w:pPr>
        <w:numPr>
          <w:ilvl w:val="0"/>
          <w:numId w:val="7105837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Maßnahmen, die zur Folge haben, dass durch das Eindringen
(Versickern) von Stoffen in den Boden das Grundwasser verunreinigt
wird</w:t>
      </w:r>
    </w:p>
    <w:p>
      <w:pPr>
        <w:numPr>
          <w:ilvl w:val="0"/>
          <w:numId w:val="7105837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Reinigung von gewerblichen oder städtischen Abwässern durch
Verrieselung oder Verregnung</w:t>
      </w:r>
    </w:p>
    <w:p>
      <w:pPr>
        <w:numPr>
          <w:ilvl w:val="0"/>
          <w:numId w:val="7105837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erhebliche Änderung von Menge oder Beschaffenheit der
bewilligten Einwirkung</w:t>
      </w:r>
    </w:p>
    <w:p>
      <w:pPr>
        <w:numPr>
          <w:ilvl w:val="0"/>
          <w:numId w:val="7105837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Ausbringen von Handelsdünger, Klärschlamm, Kompost oder
anderen zur Düngung ausgebrachten Abfällen, ausgenommen auf
Gartenbauflächen, soweit die Düngerabgabe auf landwirtschaftlichen
Nutzflächen ohne Gründeckung 175 kg Stickstoff je Hektar und
Jahr, auf landwirtschaftlichen Nutzflächen mit Gründeckung
einschließlich Dauergrünland oder mit stickstoffzehrenden
Fruchtfolgen 210 kg Stickstoff je Hektar und Jahr
übersteigt.</w:t>
      </w:r>
    </w:p>
    <w:p>
      <w:pPr>
        <w:widowControl w:val="on"/>
        <w:pBdr/>
        <w:spacing w:before="140" w:after="240" w:line="288" w:lineRule="auto"/>
        <w:ind w:left="0" w:right="0"/>
        <w:jc w:val="left"/>
      </w:pPr>
      <w:r>
        <w:rPr>
          <w:rFonts w:ascii="Arial" w:hAnsi="Arial" w:eastAsia="Arial" w:cs="Arial"/>
          <w:color w:val="000000"/>
          <w:sz w:val="20"/>
          <w:szCs w:val="20"/>
        </w:rPr>
        <w:t xml:space="preserve">Der Einholung einer wasserrechtlichen Bewilligung bedarf die
ohne Zusammenhang mit einer bestimmten Einwirkung geplante
Errichtung oder Änderung von Anlagen zur Reinigung öffentlicher
Gewässer oder die Verwertung fremder Abwässer.</w:t>
      </w:r>
    </w:p>
    <w:p>
      <w:pPr>
        <w:widowControl w:val="on"/>
        <w:pBdr/>
        <w:spacing w:before="140" w:after="240" w:line="288" w:lineRule="auto"/>
        <w:ind w:left="0" w:right="0"/>
        <w:jc w:val="left"/>
      </w:pPr>
      <w:r>
        <w:rPr>
          <w:rFonts w:ascii="Arial" w:hAnsi="Arial" w:eastAsia="Arial" w:cs="Arial"/>
          <w:color w:val="000000"/>
          <w:sz w:val="20"/>
          <w:szCs w:val="20"/>
        </w:rPr>
        <w:t xml:space="preserve">Weiters bedarf auch die künstliche Anreicherung von Grundwasser
für Zwecke der öffentlichen Grundwasserbewirtschaftung der
Einholung einer wasserrechtlichen Bewilligung.</w:t>
      </w:r>
    </w:p>
    <w:p>
      <w:pPr>
        <w:widowControl w:val="on"/>
        <w:pBdr/>
        <w:spacing w:before="140" w:after="240" w:line="288" w:lineRule="auto"/>
        <w:ind w:left="0" w:right="0"/>
        <w:jc w:val="left"/>
      </w:pPr>
      <w:r>
        <w:rPr>
          <w:rFonts w:ascii="Arial" w:hAnsi="Arial" w:eastAsia="Arial" w:cs="Arial"/>
          <w:color w:val="000000"/>
          <w:sz w:val="20"/>
          <w:szCs w:val="20"/>
        </w:rPr>
        <w:t xml:space="preserve">Gem § 32b WRG 1959 bedarf die Abwasserableitung in eine
bewilligte Kanalisation grundsätzlich keiner wasserrechtlichen
Bewilligung.</w:t>
      </w:r>
    </w:p>
    <w:p>
      <w:pPr>
        <w:widowControl w:val="on"/>
        <w:pBdr/>
        <w:spacing w:before="140" w:after="240" w:line="288" w:lineRule="auto"/>
        <w:ind w:left="0" w:right="0"/>
        <w:jc w:val="left"/>
      </w:pPr>
      <w:r>
        <w:rPr>
          <w:rFonts w:ascii="Arial" w:hAnsi="Arial" w:eastAsia="Arial" w:cs="Arial"/>
          <w:color w:val="000000"/>
          <w:sz w:val="20"/>
          <w:szCs w:val="20"/>
        </w:rPr>
        <w:t xml:space="preserve">Davon sind allerdings Ausnahmen vorgesehen: Für die in der
Verordnung des Bundesministers für Land- und Forstwirtschaft
betreffend Abwassereinleitungen in die wasserrechtlich bewilligte
Kanalisation, der so genannten Indirekteinleiterverordnung,
BGBl II Nr 222/1998, idgF BGBl Nr 332/2019,
bezeichneten Adressaten besteht eine Verpflichtung, eine
wasserrechtliche Bewilligung einzuholen.</w:t>
      </w:r>
    </w:p>
    <w:p>
      <w:pPr>
        <w:widowControl w:val="on"/>
        <w:pBdr/>
        <w:spacing w:before="140" w:after="240" w:line="288" w:lineRule="auto"/>
        <w:ind w:left="0" w:right="0"/>
        <w:jc w:val="left"/>
      </w:pPr>
      <w:r>
        <w:rPr>
          <w:rFonts w:ascii="Arial" w:hAnsi="Arial" w:eastAsia="Arial" w:cs="Arial"/>
          <w:color w:val="000000"/>
          <w:sz w:val="20"/>
          <w:szCs w:val="20"/>
        </w:rPr>
        <w:t xml:space="preserve">Grundsätzlich ist für die Einleitung von häuslichen Abwässern
und vergleichbaren Abwässern in eine Kanalisation keine Genehmigung
des Kanalisationsunternehmens erforderlich. Es besteht allerdings
nach den landesrechtlichen Vorschriften ein so genannter
Anschlusszwang an die öffentliche Kanalisation.</w:t>
      </w:r>
    </w:p>
    <w:p>
      <w:pPr>
        <w:widowControl w:val="on"/>
        <w:pBdr/>
        <w:spacing w:before="140" w:after="240" w:line="288" w:lineRule="auto"/>
        <w:ind w:left="0" w:right="0"/>
        <w:jc w:val="left"/>
      </w:pPr>
      <w:r>
        <w:rPr>
          <w:rFonts w:ascii="Arial" w:hAnsi="Arial" w:eastAsia="Arial" w:cs="Arial"/>
          <w:color w:val="000000"/>
          <w:sz w:val="20"/>
          <w:szCs w:val="20"/>
        </w:rPr>
        <w:t xml:space="preserve">Derjenige, der mit Zustimmung des Kanalisationsunternehmens
Abwasser, dessen Beschaffenheit nicht nur geringfügig von der des
häuslichen abweicht, in eine wasserrechtlich bewilligte
Kanalisation einbringt, hat gem § 32b Abs 2 WRG vor
Beginn der Ableitung dem Kanalisationsunternehmen die
einzubringenden Stoffe, die Frachten, die Abwassermenge sowie
andere Einleitungs- und Überwachungsgegebenheiten mitzuteilen. Eine
wasserrechtliche Bewilligung ist nicht erforderlich.</w:t>
      </w:r>
    </w:p>
    <w:p>
      <w:pPr>
        <w:widowControl w:val="on"/>
        <w:pBdr/>
        <w:spacing w:before="140" w:after="240" w:line="288" w:lineRule="auto"/>
        <w:ind w:left="0" w:right="0"/>
        <w:jc w:val="left"/>
      </w:pPr>
      <w:r>
        <w:rPr>
          <w:rFonts w:ascii="Arial" w:hAnsi="Arial" w:eastAsia="Arial" w:cs="Arial"/>
          <w:color w:val="000000"/>
          <w:sz w:val="20"/>
          <w:szCs w:val="20"/>
        </w:rPr>
        <w:t xml:space="preserve">In § 26 Abs 2 WRG 1959 ist ein
verschuldensunabhängiger Schadenersatzanspruch vorgesehen, wenn
durch den rechtmäßigen Bestand oder Betrieb einer
Wasserbenutzungsanlage ein älteres Wasserbenutzungsrecht der in
§ 12 Abs 2 WRG 1995 bezeichneten Art beeinträchtigt wird,
wenn bei der Erteilung der wasserrechtlichen Bewilligung der
Eintritt dieser nachteiligen Wirkung überhaupt nicht oder nur in
einem geringeren Umfang erwartet werden kann. Die Frage, ob und in
welchem Ausmaß die Wasserrechtsbehörde mit den Eintritt der
nachteiligen Auswirkungen gerechnet hat, ist konkret im Hinblick
auf die betroffenen Geschädigten zu beurteilen.</w:t>
      </w:r>
    </w:p>
    <w:p>
      <w:pPr>
        <w:widowControl w:val="on"/>
        <w:pBdr/>
        <w:spacing w:before="140" w:after="240" w:line="288" w:lineRule="auto"/>
        <w:ind w:left="0" w:right="0"/>
        <w:jc w:val="left"/>
      </w:pPr>
      <w:r>
        <w:rPr>
          <w:rFonts w:ascii="Arial" w:hAnsi="Arial" w:eastAsia="Arial" w:cs="Arial"/>
          <w:color w:val="000000"/>
          <w:sz w:val="20"/>
          <w:szCs w:val="20"/>
        </w:rPr>
        <w:t xml:space="preserve">Liegt eine Bewilligung des Wassernutzungsrechts vor und hat die
zuständige Wasserrechtsbehörde mittels Bescheids noch nicht über
die Einräumung von Zwangsrechten und über die Entschädigung bis zum
Eintritt des konkreten Schadens abgesprochen, so steht dem
Geschädigten ein verschuldensunabhängiger Schadenersatzanspruch
dann zu, wenn das beeinträchtigte Wassernutzungsrecht und sein
Besitzer im Wasserbuch ersichtlich gemacht oder wenigstens die
Ersichtlichmachung bei der Wasserrechtsbehörde angemeldet worden
ist.</w:t>
      </w:r>
    </w:p>
    <w:p>
      <w:pPr>
        <w:widowControl w:val="on"/>
        <w:pBdr/>
        <w:spacing w:before="140" w:after="240" w:line="288" w:lineRule="auto"/>
        <w:ind w:left="0" w:right="0"/>
        <w:jc w:val="left"/>
      </w:pPr>
      <w:r>
        <w:rPr>
          <w:rFonts w:ascii="Arial" w:hAnsi="Arial" w:eastAsia="Arial" w:cs="Arial"/>
          <w:color w:val="000000"/>
          <w:sz w:val="20"/>
          <w:szCs w:val="20"/>
        </w:rPr>
        <w:t xml:space="preserve">In § 12 Abs 4 WRG 1959 iVm § 117 WRG 1959 ist ein
Anspruch auf Entschädigung bei Verschlechterung der
Bodenbeschaffenheit durch die Veränderung des Grundwasserstandes
wegen einer geplanten Wasserbenutzungsanlage vorgesehen. Demnach
wird dem jeweiligen Grundeigentümer ein Anspruch auf Abweisung des
Antrags auf Erteilung einer wasserrechtlichen Bewilligung
zugestanden, wenn das Grundstück nicht auf die bisher geübte Art
benutzbar bleibt.</w:t>
      </w:r>
    </w:p>
    <w:p>
      <w:pPr>
        <w:widowControl w:val="on"/>
        <w:pBdr/>
        <w:spacing w:before="140" w:after="240" w:line="288" w:lineRule="auto"/>
        <w:ind w:left="0" w:right="0"/>
        <w:jc w:val="left"/>
      </w:pPr>
      <w:r>
        <w:rPr>
          <w:rFonts w:ascii="Arial" w:hAnsi="Arial" w:eastAsia="Arial" w:cs="Arial"/>
          <w:color w:val="000000"/>
          <w:sz w:val="20"/>
          <w:szCs w:val="20"/>
        </w:rPr>
        <w:t xml:space="preserve">Für den Antrag auf Erteilung einer wasserrechtlichen Bewilligung
müssen die notwendigen Antragsunterlagen gem § 103 WRG
vorliegen.</w:t>
      </w:r>
    </w:p>
    <w:p>
      <w:pPr>
        <w:widowControl w:val="on"/>
        <w:pBdr/>
        <w:spacing w:before="140" w:after="240" w:line="288" w:lineRule="auto"/>
        <w:ind w:left="0" w:right="0"/>
        <w:jc w:val="left"/>
      </w:pPr>
      <w:r>
        <w:rPr>
          <w:rFonts w:ascii="Arial" w:hAnsi="Arial" w:eastAsia="Arial" w:cs="Arial"/>
          <w:color w:val="000000"/>
          <w:sz w:val="20"/>
          <w:szCs w:val="20"/>
        </w:rPr>
        <w:t xml:space="preserve">Der Antrag muss eine eindeutige Formulierung des
Wasserbenutzungsrechts enthalten, insbesondere durch Angabe von
Art, Ort und Maß der Wasserbenutzung, durch Angabe über die
geplante Dauer und den Bedarf, eine möglichst lückenlose Angabe
betroffener Dritter einschließlich ihrer Haltung zum Vorhaben,
sowie durch eine umfassende Darstellung des Vorhabens und des von
ihm berührten Umfelds und seiner Beeinflussung durch das
Vorhaben.</w:t>
      </w:r>
    </w:p>
    <w:p>
      <w:pPr>
        <w:widowControl w:val="on"/>
        <w:pBdr/>
        <w:spacing w:before="140" w:after="240" w:line="288" w:lineRule="auto"/>
        <w:ind w:left="0" w:right="0"/>
        <w:jc w:val="left"/>
      </w:pPr>
      <w:r>
        <w:rPr>
          <w:rFonts w:ascii="Arial" w:hAnsi="Arial" w:eastAsia="Arial" w:cs="Arial"/>
          <w:color w:val="000000"/>
          <w:sz w:val="20"/>
          <w:szCs w:val="20"/>
        </w:rPr>
        <w:t xml:space="preserve">Weitere Voraussetzung ist die Zustimmung des
Liegenschaftseigentümers, wenn der Antragsteller nicht selbst
Eigentümer der für das Vorhaben beanspruchten Liegenschaft ist.</w:t>
      </w:r>
    </w:p>
    <w:p>
      <w:pPr>
        <w:widowControl w:val="on"/>
        <w:pBdr/>
        <w:spacing w:before="140" w:after="240" w:line="288" w:lineRule="auto"/>
        <w:ind w:left="0" w:right="0"/>
        <w:jc w:val="left"/>
      </w:pPr>
      <w:r>
        <w:rPr>
          <w:rFonts w:ascii="Arial" w:hAnsi="Arial" w:eastAsia="Arial" w:cs="Arial"/>
          <w:color w:val="000000"/>
          <w:sz w:val="20"/>
          <w:szCs w:val="20"/>
        </w:rPr>
        <w:t xml:space="preserve">Die Zuständigkeit der Behörde richtet sich nach den §§ 98
WRG. Somit sind Wasserrechtsbehörden – unbeschadet der in einzelnen
Bestimmungen des WRG festgelegten Zuständigkeit des Bürgermeisters
– die Bezirksverwaltungsbehörde, der Landeshauptmann und der
Bundesminister für Land- und Forstwirtschaft, Umwelt und
Wasserwirtschaft. Sofern nichts anderes bestimmt wird, ist die
Bezirksverwaltungsbehörde zuständig.</w:t>
      </w:r>
    </w:p>
    <w:p>
      <w:pPr>
        <w:widowControl w:val="on"/>
        <w:pBdr/>
        <w:spacing w:before="140" w:after="240" w:line="288" w:lineRule="auto"/>
        <w:ind w:left="0" w:right="0"/>
        <w:jc w:val="left"/>
      </w:pPr>
      <w:r>
        <w:rPr>
          <w:rFonts w:ascii="Arial" w:hAnsi="Arial" w:eastAsia="Arial" w:cs="Arial"/>
          <w:color w:val="000000"/>
          <w:sz w:val="20"/>
          <w:szCs w:val="20"/>
        </w:rPr>
        <w:t xml:space="preserve">Bei gewerblichen Betriebsanlagen sind gem § 356b GewO
bestimmte wasserrechtliche Genehmigungsvorschriften mit zu
berücksichtigen.</w:t>
      </w:r>
    </w:p>
    <w:p>
      <w:pPr>
        <w:widowControl w:val="on"/>
        <w:pBdr/>
        <w:spacing w:before="140" w:after="240" w:line="288" w:lineRule="auto"/>
        <w:ind w:left="0" w:right="0"/>
        <w:jc w:val="left"/>
      </w:pPr>
      <w:r>
        <w:rPr>
          <w:rFonts w:ascii="Arial" w:hAnsi="Arial" w:eastAsia="Arial" w:cs="Arial"/>
          <w:color w:val="000000"/>
          <w:sz w:val="20"/>
          <w:szCs w:val="20"/>
        </w:rPr>
        <w:t xml:space="preserve">Als Parteien iSd § 102 WRG 1959 sind diejenigen anzusehen,
die zu einer Leistung, Duldung oder Unterlassung verpflichtet
werden sollen oder deren Rechte iSd § 12 Abs 2 WRG sonst
berührt werden. Als derartig bestehende Rechte sind rechtmäßig
geübte Wassernutzungen – das sind bewilligte Wassernutzungen oder
bewilligungsfreie Wassernutzungen – und das Grundeigentum zu
verstehen.</w:t>
      </w:r>
    </w:p>
    <w:p>
      <w:pPr>
        <w:widowControl w:val="on"/>
        <w:pBdr/>
        <w:spacing w:before="140" w:after="240" w:line="288" w:lineRule="auto"/>
        <w:ind w:left="0" w:right="0"/>
        <w:jc w:val="left"/>
      </w:pPr>
      <w:r>
        <w:rPr>
          <w:rFonts w:ascii="Arial" w:hAnsi="Arial" w:eastAsia="Arial" w:cs="Arial"/>
          <w:color w:val="000000"/>
          <w:sz w:val="20"/>
          <w:szCs w:val="20"/>
        </w:rPr>
        <w:t xml:space="preserve">Bezüglich der Abwehr von Beeinträchtigungen des Grundeigentümers
in Bezug auf das wasserrechtliche Projekt kommt dem jeweiligen
Liegenschaftseigentümer Parteistellung zu. Weiters genießen die
jeweiligen Gemeinden, die Wassergenossenschaften und das
wasserwirtschaftliche Planungsorgan Parteistellung.</w:t>
      </w:r>
    </w:p>
    <w:p>
      <w:pPr>
        <w:widowControl w:val="on"/>
        <w:pBdr/>
        <w:spacing w:before="140" w:after="240" w:line="288" w:lineRule="auto"/>
        <w:ind w:left="0" w:right="0"/>
        <w:jc w:val="left"/>
      </w:pPr>
      <w:r>
        <w:rPr>
          <w:rFonts w:ascii="Arial" w:hAnsi="Arial" w:eastAsia="Arial" w:cs="Arial"/>
          <w:color w:val="000000"/>
          <w:sz w:val="20"/>
          <w:szCs w:val="20"/>
        </w:rPr>
        <w:t xml:space="preserve">Zu beachten ist, dass im Verfahren zur Erteilung von
nachträglichen Auflagen iSd § 21a WRG 1959 demjenigen, dem
Maßnahmen vorgeschrieben werden, Parteistellung zukommt.</w:t>
      </w:r>
    </w:p>
    <w:p>
      <w:pPr>
        <w:widowControl w:val="on"/>
        <w:pBdr/>
        <w:spacing w:before="140" w:after="240" w:line="288" w:lineRule="auto"/>
        <w:ind w:left="0" w:right="0"/>
        <w:jc w:val="left"/>
      </w:pPr>
      <w:r>
        <w:rPr>
          <w:rFonts w:ascii="Arial" w:hAnsi="Arial" w:eastAsia="Arial" w:cs="Arial"/>
          <w:color w:val="000000"/>
          <w:sz w:val="20"/>
          <w:szCs w:val="20"/>
        </w:rPr>
        <w:t xml:space="preserve">Der betroffene Liegenschaftseigentümer und derjenige, in dessen
Wasserrechte durch einen Dritten eingegriffen wird, kann sich iSd
§ 138 WRG 1959 gegen den Störer wehren und bei der Behörde
beantragen, dass dem Störer der Auftrag erteilt wird, die
eigenmächtig vorgenommenen Neuerungen zu beseitigen oder innerhalb
einer bestimmten Frist um eine nachträgliche wasserrechtliche
Bewilligung anzusuchen.</w:t>
      </w:r>
    </w:p>
    <w:p>
      <w:pPr>
        <w:widowControl w:val="on"/>
        <w:pBdr/>
        <w:spacing w:before="140" w:after="240" w:line="288" w:lineRule="auto"/>
        <w:ind w:left="0" w:right="0"/>
        <w:jc w:val="left"/>
      </w:pPr>
      <w:r>
        <w:rPr>
          <w:rFonts w:ascii="Arial" w:hAnsi="Arial" w:eastAsia="Arial" w:cs="Arial"/>
          <w:color w:val="000000"/>
          <w:sz w:val="20"/>
          <w:szCs w:val="20"/>
        </w:rPr>
        <w:t xml:space="preserve">Gem § 38 WRG ist zur Errichtung und Abänderung von Brücken,
Stegen und von Bauten an Ufern, sowie von Unterführungen unter
Wasserläufen, schließlich von Einbauten in stehende öffentliche
Gewässer, die nicht unter die Bestimmungen des § 127 WRG
fallen, neben der sonst erforderlichen Genehmigung auch eine
wasserrechtliche Bewilligung einzuholen. Die Bewilligung kann auch
zeitlich befristet erteilt werden.</w:t>
      </w:r>
    </w:p>
    <w:p>
      <w:pPr>
        <w:widowControl w:val="on"/>
        <w:pBdr/>
        <w:spacing w:before="140" w:after="240" w:line="288" w:lineRule="auto"/>
        <w:ind w:left="0" w:right="0"/>
        <w:jc w:val="left"/>
      </w:pPr>
      <w:r>
        <w:rPr>
          <w:rFonts w:ascii="Arial" w:hAnsi="Arial" w:eastAsia="Arial" w:cs="Arial"/>
          <w:color w:val="000000"/>
          <w:sz w:val="20"/>
          <w:szCs w:val="20"/>
        </w:rPr>
        <w:t xml:space="preserve">Anhand des nachstehenden Musters soll gezeigt werden, wie ein
solcher Antrag auf Einholung einer wasserrechtlichen Bewilligung
gem § 38 WRG auszusehen hat:</w:t>
      </w:r>
    </w:p>
    <w:p>
      <w:r>
        <w:pict>
          <v:rect id="_x0000_i1026" style="width:0;height:1.5pt" o:hralign="center" o:hrstd="t" o:hr="t" o:hrnoshade="t" fillcolor="#a0a0a0" stroked="f"/>
        </w:pic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Antrag auf Bewilligung gem § 38 WRG</w:t>
      </w:r>
    </w:p>
    <w:p>
      <w:pPr>
        <w:widowControl w:val="on"/>
        <w:pBdr/>
        <w:spacing w:before="140" w:after="240" w:line="288" w:lineRule="auto"/>
        <w:ind w:left="0" w:right="0"/>
        <w:jc w:val="left"/>
      </w:pPr>
      <w:r>
        <w:rPr>
          <w:rFonts w:ascii="Arial" w:hAnsi="Arial" w:eastAsia="Arial" w:cs="Arial"/>
          <w:color w:val="000000"/>
          <w:sz w:val="20"/>
          <w:szCs w:val="20"/>
        </w:rPr>
        <w:t xml:space="preserve">An die Bezirkshauptmannschaft …</w:t>
      </w:r>
      <w:r>
        <w:rPr>
          <w:rFonts w:ascii="Arial" w:hAnsi="Arial" w:eastAsia="Arial" w:cs="Arial"/>
          <w:color w:val="000000"/>
          <w:sz w:val="20"/>
          <w:szCs w:val="20"/>
        </w:rPr>
        <w:br/>
        <w:t xml:space="preserve">… [Adresse]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ÖIAH AG</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Henriette Müller</w:t>
            </w:r>
            <w:r>
              <w:rPr>
                <w:rFonts w:ascii="Arial" w:hAnsi="Arial" w:eastAsia="Arial" w:cs="Arial"/>
                <w:color w:val="000000"/>
                <w:position w:val="0"/>
                <w:sz w:val="20"/>
                <w:szCs w:val="20"/>
                <w:shd w:val="clear" w:color="auto" w:fill="FFFFFF"/>
              </w:rPr>
              <w:br/>
              <w:t xml:space="preserve">Rechtsanwältin</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Errichtung eines Fuß- und Radwegs im
Hochwasserabflussbereich</w:t>
            </w:r>
            <w:r>
              <w:rPr>
                <w:rFonts w:ascii="Arial" w:hAnsi="Arial" w:eastAsia="Arial" w:cs="Arial"/>
                <w:color w:val="000000"/>
                <w:position w:val="0"/>
                <w:sz w:val="20"/>
                <w:szCs w:val="20"/>
                <w:shd w:val="clear" w:color="auto" w:fill="FFFFFF"/>
              </w:rPr>
              <w:br/>
              <w:t xml:space="preserve">wasserrechtliche Bewilligung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Bewilligung einer
besonderen baulichen Herstellung gem § 38 WRG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7 Beilagen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 Sachverhalt</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ist Eigentümerin des Grundstücks in …
[Adresse] mit der Grundstücksnummer 335/1 der KG …
[Kastralgemeinde]. An dieses Grundstück grenzen laut beiliegenden
Plan, Beilage ./A, das Grundstück des Nachbarn Anton Weber mit der
Grundstücksnummer 335/2 KG … [Kastralgemeinde] und das Grundstück
des Nachbarn Josef Huber mit der Grundstücksnummer 336/1 KG …
[Kastralgemeinde] an.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beabsichtigte, im Sommer 2016 auf dem oben
beschriebenen Grundstück einen Fuß- und Radweg zu errichten. Bei
dem Fuß- und Radweg sollte es sich lediglich um ein
Baustellenprovisorium handeln.</w:t>
      </w:r>
    </w:p>
    <w:p>
      <w:pPr>
        <w:widowControl w:val="on"/>
        <w:pBdr/>
        <w:spacing w:before="140" w:after="240" w:line="288" w:lineRule="auto"/>
        <w:ind w:left="0" w:right="0"/>
        <w:jc w:val="left"/>
      </w:pPr>
      <w:r>
        <w:rPr>
          <w:rFonts w:ascii="Arial" w:hAnsi="Arial" w:eastAsia="Arial" w:cs="Arial"/>
          <w:color w:val="000000"/>
          <w:sz w:val="20"/>
          <w:szCs w:val="20"/>
        </w:rPr>
        <w:t xml:space="preserve">Die Eigentümer der angrenzenden Grundstücke stimmen dem Vorhaben
zu. Die Zustimmungserklärungen liegen dem Antrag </w:t>
      </w:r>
      <w:r>
        <w:rPr>
          <w:rFonts w:ascii="Arial" w:hAnsi="Arial" w:eastAsia="Arial" w:cs="Arial"/>
          <w:color w:val="000000"/>
          <w:sz w:val="20"/>
          <w:szCs w:val="20"/>
        </w:rPr>
        <w:t xml:space="preserve">bei.</w:t>
      </w:r>
      <w:bookmarkStart w:id="33961984" w:name="link1"/>
      <w:bookmarkEnd w:id="33961984"/>
      <w:hyperlink w:anchor="note1" w:history="1">
        <w:r>
          <w:rPr>
            <w:rFonts w:ascii="Arial" w:hAnsi="Arial" w:eastAsia="Arial" w:cs="Arial"/>
            <w:b/>
            <w:bCs/>
            <w:color w:val="006BB6"/>
            <w:position w:val="4"/>
            <w:sz w:val="22"/>
            <w:szCs w:val="22"/>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näheren Einzelheiten des Vorhabens sind den beiliegenden
Projektunterlagen zu entnehmen.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 Begründung</w:t>
      </w:r>
    </w:p>
    <w:p>
      <w:pPr>
        <w:widowControl w:val="on"/>
        <w:pBdr/>
        <w:spacing w:before="140" w:after="240" w:line="288" w:lineRule="auto"/>
        <w:ind w:left="0" w:right="0"/>
        <w:jc w:val="left"/>
      </w:pPr>
      <w:r>
        <w:rPr>
          <w:rFonts w:ascii="Arial" w:hAnsi="Arial" w:eastAsia="Arial" w:cs="Arial"/>
          <w:color w:val="000000"/>
          <w:sz w:val="20"/>
          <w:szCs w:val="20"/>
        </w:rPr>
        <w:t xml:space="preserve">Zur Errichtung und Abänderung von Brücken, Stegen und von Bauten
an Ufern sowie von anderen Anlagen innerhalb der Grenzen des
Hochwasserabflusses fließender Gewässer ist gem § 38 WRG die
wasserrechtliche Bewilligung erforderlich.</w:t>
      </w:r>
    </w:p>
    <w:p>
      <w:pPr>
        <w:widowControl w:val="on"/>
        <w:pBdr/>
        <w:spacing w:before="140" w:after="240" w:line="288" w:lineRule="auto"/>
        <w:ind w:left="0" w:right="0"/>
        <w:jc w:val="left"/>
      </w:pPr>
      <w:r>
        <w:rPr>
          <w:rFonts w:ascii="Arial" w:hAnsi="Arial" w:eastAsia="Arial" w:cs="Arial"/>
          <w:color w:val="000000"/>
          <w:sz w:val="20"/>
          <w:szCs w:val="20"/>
        </w:rPr>
        <w:t xml:space="preserve">Als Hochwassergebiet gilt ein bei 30-jährlichen Hochwässern
überflutetes Gebiet. Die Bewilligung ist zu erteilen, wenn durch
das zur Bewilligung anstehende Vorhaben öffentliche Interessen und
bestehende Rechte nicht verletzt werden.</w:t>
      </w:r>
    </w:p>
    <w:p>
      <w:pPr>
        <w:widowControl w:val="on"/>
        <w:pBdr/>
        <w:spacing w:before="140" w:after="240" w:line="288" w:lineRule="auto"/>
        <w:ind w:left="0" w:right="0"/>
        <w:jc w:val="left"/>
      </w:pPr>
      <w:r>
        <w:rPr>
          <w:rFonts w:ascii="Arial" w:hAnsi="Arial" w:eastAsia="Arial" w:cs="Arial"/>
          <w:color w:val="000000"/>
          <w:sz w:val="20"/>
          <w:szCs w:val="20"/>
        </w:rPr>
        <w:t xml:space="preserve">Gerade dies trifft im konkreten Fall zu. Durch die Errichtung
des Fuß- und Radwegs bei einem 30-jährlichen Hochwasserereignis
werden weder öffentliche Interessen verletzt noch fremde
Liegenschaften beeinträchtigt.</w:t>
      </w:r>
    </w:p>
    <w:p>
      <w:pPr>
        <w:widowControl w:val="on"/>
        <w:pBdr/>
        <w:spacing w:before="140" w:after="240" w:line="288" w:lineRule="auto"/>
        <w:ind w:left="0" w:right="0"/>
        <w:jc w:val="left"/>
      </w:pPr>
      <w:r>
        <w:rPr>
          <w:rFonts w:ascii="Arial" w:hAnsi="Arial" w:eastAsia="Arial" w:cs="Arial"/>
          <w:color w:val="000000"/>
          <w:sz w:val="20"/>
          <w:szCs w:val="20"/>
        </w:rPr>
        <w:t xml:space="preserve">Es liegen somit die Voraussetzungen für die Erteilung einer
Bewilligung einer besonderen baulichen Herstellung gem § 38
WRG vor.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III. Antragstellung</w:t>
      </w:r>
    </w:p>
    <w:p>
      <w:pPr>
        <w:widowControl w:val="on"/>
        <w:pBdr/>
        <w:spacing w:before="140" w:after="240" w:line="288" w:lineRule="auto"/>
        <w:ind w:left="0" w:right="0"/>
        <w:jc w:val="left"/>
      </w:pPr>
      <w:r>
        <w:rPr>
          <w:rFonts w:ascii="Arial" w:hAnsi="Arial" w:eastAsia="Arial" w:cs="Arial"/>
          <w:color w:val="000000"/>
          <w:sz w:val="20"/>
          <w:szCs w:val="20"/>
        </w:rPr>
        <w:t xml:space="preserve">Aus all diesen Gründen stellt der Antragsteller gem § 38
WRG den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der Bezirkshauptmann … möge die wasserrechtliche Bewilligung
nach Maßgabe der angeschlossenen Einreichunterlagen erteilen.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ÖIAH AG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449076" w:name="note1"/>
            <w:bookmarkEnd w:id="79449076"/>
            <w:bookmarkStart w:id="4298413322520" w:name="note1"/>
            <w:r>
              <w:rPr>
                <w:rFonts w:ascii="Arial" w:hAnsi="Arial" w:eastAsia="Arial" w:cs="Arial"/>
                <w:b/>
                <w:bCs/>
                <w:color w:val="000000"/>
                <w:position w:val="0"/>
                <w:sz w:val="20"/>
                <w:szCs w:val="20"/>
              </w:rPr>
              <w:t xml:space="preserve">[1]</w:t>
            </w:r>
            <w:bookmarkEnd w:id="429841332252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Eigentümer des Grundstücks darf gem § 39 WRG den
natürlichen Abfluss der sich darauf ansammelnden und darüber
fließenden Gewässer zum Nachteil des unteren Grundstücks nicht
willkürlich ändern. Ebenso wenig ist der Eigentümer des unteren
Grundstücks befugt, den natürlichen Ablauf solcher Gewässer zum
Nachteil des oberen Grundstücks zu hindern. Ausgenommen von diesem
Verbot sind lediglich Änderungen der Abflussverhältnisse, die durch
ordnungsgemäße Bearbeitung eines landwirtschaftlichen Grundstückes
notwendigerweise bewirkt werden, wie beispielsweise durch
Pflanzenbewuchs.</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pPr>
        <w:pageBreakBefore w:val="on"/>
      </w:pPr>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Antrag auf Bewilligung für ein Wasserkraftwerk</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Wenn die Absicht besteht, ein Wasserkraftwerk zu errichten,
empfiehlt es sich, im ersten Schritt mit der zuständigen Behörde
zwecks Einholung näherer Informationen in Kontakt zu treten. Das
nachstehende Muster soll eine grobe Hilfestellung beim Verfassen
eines Antrags auf Einholung einer Bewilligung für ein
Wasserkraftwerk im Bundesland Kärnten bieten.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Allgemeines</w:t>
      </w:r>
    </w:p>
    <w:p>
      <w:pPr>
        <w:widowControl w:val="on"/>
        <w:pBdr/>
        <w:spacing w:before="140" w:after="240" w:line="288" w:lineRule="auto"/>
        <w:ind w:left="0" w:right="0"/>
        <w:jc w:val="left"/>
      </w:pPr>
      <w:r>
        <w:rPr>
          <w:rFonts w:ascii="Arial" w:hAnsi="Arial" w:eastAsia="Arial" w:cs="Arial"/>
          <w:color w:val="000000"/>
          <w:sz w:val="20"/>
          <w:szCs w:val="20"/>
        </w:rPr>
        <w:t xml:space="preserve">Das Projekt betreffend Errichtung eines Wasserkraftwerks ist von
einem Fachkundigen nach dem Stand der Technik gemäß einschlägiger
technischer Richtlinien und Normen zu erstellen, sowie mit dem
Datum und der Unterschrift des Projektanten und des Antragstellers
zu versehen. Die Pläne des Projektes sind einheitlich auf DIN A
4-Format zu falten.</w:t>
      </w:r>
    </w:p>
    <w:p>
      <w:pPr>
        <w:widowControl w:val="on"/>
        <w:pBdr/>
        <w:spacing w:before="140" w:after="240" w:line="288" w:lineRule="auto"/>
        <w:ind w:left="0" w:right="0"/>
        <w:jc w:val="left"/>
      </w:pPr>
      <w:r>
        <w:rPr>
          <w:rFonts w:ascii="Arial" w:hAnsi="Arial" w:eastAsia="Arial" w:cs="Arial"/>
          <w:color w:val="000000"/>
          <w:sz w:val="20"/>
          <w:szCs w:val="20"/>
        </w:rPr>
        <w:t xml:space="preserve">Die Bewilligung ist schriftlich zu beantragen (Antrag zweifach,
Projekt dreifach) und ordnungsgemäß zu vergebühren.</w:t>
      </w:r>
    </w:p>
    <w:p>
      <w:pPr>
        <w:widowControl w:val="on"/>
        <w:pBdr/>
        <w:spacing w:before="140" w:after="240" w:line="288" w:lineRule="auto"/>
        <w:ind w:left="0" w:right="0"/>
        <w:jc w:val="left"/>
      </w:pPr>
      <w:r>
        <w:rPr>
          <w:rFonts w:ascii="Arial" w:hAnsi="Arial" w:eastAsia="Arial" w:cs="Arial"/>
          <w:color w:val="000000"/>
          <w:sz w:val="20"/>
          <w:szCs w:val="20"/>
        </w:rPr>
        <w:t xml:space="preserve">Bei Planungsbeginn ist der Kontakt mit der Gemeinde und der
zuständigen Wasserrechtsbehörde aufzunehmen und das Vorhaben unter
Darlegung der Grundzüge dem Wasserwirtschaftlichen Planungsorgan
gem § 55 WRG 1959 anzuzeigen.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Zuständige Behörde</w:t>
      </w:r>
    </w:p>
    <w:p>
      <w:pPr>
        <w:widowControl w:val="on"/>
        <w:pBdr/>
        <w:spacing w:before="140" w:after="240" w:line="288" w:lineRule="auto"/>
        <w:ind w:left="0" w:right="0"/>
        <w:jc w:val="left"/>
      </w:pPr>
      <w:r>
        <w:rPr>
          <w:rFonts w:ascii="Arial" w:hAnsi="Arial" w:eastAsia="Arial" w:cs="Arial"/>
          <w:color w:val="000000"/>
          <w:sz w:val="20"/>
          <w:szCs w:val="20"/>
        </w:rPr>
        <w:t xml:space="preserve">Die Zuständigkeit der Behörde richtet sich nach §§ 98 ff
WRG. Für die Bewilligung von Wasserkraftanlagen bis 500
KW-Höchstleistung ist die Bezirksverwaltungsbehörde (BH) zuständig,
für die Bewilligung von Wasserkraftanlagen über 500
KW-Höchstleistung hingegen der Landeshauptmann gem § 99
Abs 1 lit b WRG.</w:t>
      </w:r>
    </w:p>
    <w:p>
      <w:pPr>
        <w:widowControl w:val="on"/>
        <w:pBdr/>
        <w:spacing w:before="140" w:after="240" w:line="288" w:lineRule="auto"/>
        <w:ind w:left="0" w:right="0"/>
        <w:jc w:val="left"/>
      </w:pPr>
      <w:r>
        <w:rPr>
          <w:rFonts w:ascii="Arial" w:hAnsi="Arial" w:eastAsia="Arial" w:cs="Arial"/>
          <w:color w:val="000000"/>
          <w:sz w:val="20"/>
          <w:szCs w:val="20"/>
        </w:rPr>
        <w:t xml:space="preserve">Die zuständige Behörde hat bei Vorliegen eines den Bestimmungen
des § 103 WRG entsprechenden Antrags, sofern Auswirkungen des
Vorhabens auf öffentliche Interessen zu erwarten sind, eine
vorläufige Überprüfung nach § 104 WRG vorzunehmen, um
Vorhaben, die öffentlichen Interessen massiv zuwiderlaufen, schon
vor Durchführung des eigentlichen Bewilligungsverfahrens
auszuscheiden.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Projektunterlagen</w:t>
      </w:r>
    </w:p>
    <w:p>
      <w:pPr>
        <w:widowControl w:val="on"/>
        <w:pBdr/>
        <w:spacing w:before="140" w:after="240" w:line="288" w:lineRule="auto"/>
        <w:ind w:left="0" w:right="0"/>
        <w:jc w:val="left"/>
      </w:pPr>
      <w:r>
        <w:rPr>
          <w:rFonts w:ascii="Arial" w:hAnsi="Arial" w:eastAsia="Arial" w:cs="Arial"/>
          <w:color w:val="000000"/>
          <w:sz w:val="20"/>
          <w:szCs w:val="20"/>
        </w:rPr>
        <w:t xml:space="preserve">Als Projektunterlagen sind dem Antrag auf Bewilligung für ein
Wasserkraftwerk der technische Bericht und die
Zustimmungserklärungen der betroffenen Grundeigentümer
anzuschließen. Fehlt die Zustimmung der Grundeigentümer, kann die
Einräumung eines Zwangsrechtes nach §§ 60 ff WRG in Betracht
kommen.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Projektunterlagen</w:t>
      </w:r>
    </w:p>
    <w:p>
      <w:pPr>
        <w:widowControl w:val="on"/>
        <w:pBdr/>
        <w:spacing w:before="140" w:after="240" w:line="288" w:lineRule="auto"/>
        <w:ind w:left="0" w:right="0"/>
        <w:jc w:val="left"/>
      </w:pPr>
      <w:r>
        <w:rPr>
          <w:rFonts w:ascii="Arial" w:hAnsi="Arial" w:eastAsia="Arial" w:cs="Arial"/>
          <w:color w:val="000000"/>
          <w:sz w:val="20"/>
          <w:szCs w:val="20"/>
        </w:rPr>
        <w:t xml:space="preserve">A. Technischer Bericht</w:t>
      </w:r>
    </w:p>
    <w:p>
      <w:pPr>
        <w:widowControl w:val="on"/>
        <w:pBdr/>
        <w:spacing w:before="140" w:after="240" w:line="288" w:lineRule="auto"/>
        <w:ind w:left="0" w:right="0"/>
        <w:jc w:val="left"/>
      </w:pPr>
      <w:r>
        <w:rPr>
          <w:rFonts w:ascii="Arial" w:hAnsi="Arial" w:eastAsia="Arial" w:cs="Arial"/>
          <w:color w:val="000000"/>
          <w:sz w:val="20"/>
          <w:szCs w:val="20"/>
        </w:rPr>
        <w:t xml:space="preserve">Allgemeines zum Technischen Bericht</w:t>
      </w:r>
    </w:p>
    <w:p>
      <w:pPr>
        <w:numPr>
          <w:ilvl w:val="0"/>
          <w:numId w:val="44322079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Bewilligungswerber, Eigentümer und Adresse</w:t>
      </w:r>
    </w:p>
    <w:p>
      <w:pPr>
        <w:numPr>
          <w:ilvl w:val="0"/>
          <w:numId w:val="44322079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Bezeichnung des Bauvorhabens und Zweck der Maßnahme</w:t>
      </w:r>
    </w:p>
    <w:p>
      <w:pPr>
        <w:numPr>
          <w:ilvl w:val="0"/>
          <w:numId w:val="44322079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Ortsangabe: Bezirk, Gemeinde, Katastralgemeinde, Ortschaft,
Gewässer, Flussgebiet, Seehöhe, Parzelle</w:t>
      </w:r>
    </w:p>
    <w:p>
      <w:pPr>
        <w:numPr>
          <w:ilvl w:val="0"/>
          <w:numId w:val="44322079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Aufzeichnungen über Wasserführung</w:t>
      </w:r>
    </w:p>
    <w:p>
      <w:pPr>
        <w:numPr>
          <w:ilvl w:val="0"/>
          <w:numId w:val="44322079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Beantragte Konsenswassermenge und gesicherte Leitung</w:t>
      </w:r>
    </w:p>
    <w:p>
      <w:pPr>
        <w:numPr>
          <w:ilvl w:val="0"/>
          <w:numId w:val="44322079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Vorgesehene Restwassermenge</w:t>
      </w:r>
    </w:p>
    <w:p>
      <w:pPr>
        <w:numPr>
          <w:ilvl w:val="0"/>
          <w:numId w:val="44322079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Fischaufstiegshilfe und Laichplätze</w:t>
      </w:r>
    </w:p>
    <w:p>
      <w:pPr>
        <w:widowControl w:val="on"/>
        <w:pBdr/>
        <w:spacing w:before="140" w:after="240" w:line="288" w:lineRule="auto"/>
        <w:ind w:left="0" w:right="0"/>
        <w:jc w:val="left"/>
      </w:pPr>
      <w:r>
        <w:rPr>
          <w:rFonts w:ascii="Arial" w:hAnsi="Arial" w:eastAsia="Arial" w:cs="Arial"/>
          <w:b/>
          <w:bCs/>
          <w:color w:val="000000"/>
          <w:sz w:val="20"/>
          <w:szCs w:val="20"/>
        </w:rPr>
        <w:t xml:space="preserve">Vorerhebungen</w:t>
      </w:r>
      <w:r>
        <w:rPr>
          <w:rFonts w:ascii="Arial" w:hAnsi="Arial" w:eastAsia="Arial" w:cs="Arial"/>
          <w:color w:val="000000"/>
          <w:sz w:val="20"/>
          <w:szCs w:val="20"/>
        </w:rPr>
        <w:t xml:space="preserve"> (Sämtliche Untersuchungen sind
vom Fachkundigen durchzuführen)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Hydrographische Messungen</w:t>
      </w:r>
    </w:p>
    <w:p>
      <w:pPr>
        <w:numPr>
          <w:ilvl w:val="0"/>
          <w:numId w:val="8507972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Beobachtungen des Wasserstandes: Lückenlose, tägliche Erfassung
des Wasserstandes (empfohlen wird der Einbau eines Schreibgerätes
oder Datensammlers)</w:t>
      </w:r>
    </w:p>
    <w:p>
      <w:pPr>
        <w:numPr>
          <w:ilvl w:val="0"/>
          <w:numId w:val="8507972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Messung der Wassermenge: Im Einvernehmen mit dem
Hydrographischen Dienst des Amtes der Kärntner Landesregierung ist
die Art der Messung festzulegen.</w:t>
      </w:r>
    </w:p>
    <w:p>
      <w:pPr>
        <w:numPr>
          <w:ilvl w:val="0"/>
          <w:numId w:val="8507972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Dauer der Messungen: Mindestens über 2 Jahre, bei natürlichen
und naturnahen Fließgewässern (ökomorphologische Wertigkeit von 1
bis 2) mindestens 3 Jahre</w:t>
      </w:r>
    </w:p>
    <w:p>
      <w:pPr>
        <w:numPr>
          <w:ilvl w:val="0"/>
          <w:numId w:val="8507972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erfassten hydrologischen Daten sind auszuwerten (HQ, MQ,
NQ).</w:t>
      </w:r>
    </w:p>
    <w:p>
      <w:pPr>
        <w:numPr>
          <w:ilvl w:val="0"/>
          <w:numId w:val="8507972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Zusätzlich sind bei Ausleitungskraftwerken Angaben über die
Zubringerbäche in der geplanten Ausleitungsstrecke mit Messungen
der Abflüsse aus den Zwischeneinzugsgebieten vorzulegen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Ökologische Zustandserhebungen</w:t>
      </w:r>
    </w:p>
    <w:p>
      <w:pPr>
        <w:numPr>
          <w:ilvl w:val="0"/>
          <w:numId w:val="4760026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Klimatische und geologische Untersuchungen</w:t>
      </w:r>
    </w:p>
    <w:p>
      <w:pPr>
        <w:numPr>
          <w:ilvl w:val="0"/>
          <w:numId w:val="4760026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Floristisch – vegetationskundliche Untersuchungen</w:t>
      </w:r>
    </w:p>
    <w:p>
      <w:pPr>
        <w:numPr>
          <w:ilvl w:val="0"/>
          <w:numId w:val="4760026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Faunistische Untersuchungen sowie Untersuchungen der
benthischen Lebewelt (Bachbett – Biozönosen)</w:t>
      </w:r>
    </w:p>
    <w:p>
      <w:pPr>
        <w:numPr>
          <w:ilvl w:val="0"/>
          <w:numId w:val="4760026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Fischereibiologische Untersuchungen</w:t>
      </w:r>
    </w:p>
    <w:p>
      <w:pPr>
        <w:numPr>
          <w:ilvl w:val="0"/>
          <w:numId w:val="4760026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Angaben über die aktuelle Gewässergüte</w:t>
      </w:r>
    </w:p>
    <w:p>
      <w:pPr>
        <w:numPr>
          <w:ilvl w:val="0"/>
          <w:numId w:val="4760026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Angaben über den ökomorphologischen Zustand des Gewässers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Morphometrische Untersuchungen des Gewässers</w:t>
      </w:r>
    </w:p>
    <w:p>
      <w:pPr>
        <w:numPr>
          <w:ilvl w:val="0"/>
          <w:numId w:val="8575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Fließgeschwindigkeiten sind während der Niederwasserführung
sowie der Mittelwasserführung des Fließgewässers
durchzuführen.</w:t>
      </w:r>
    </w:p>
    <w:p>
      <w:pPr>
        <w:numPr>
          <w:ilvl w:val="0"/>
          <w:numId w:val="8575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Gewässerbreiten und Tiefen</w:t>
      </w:r>
    </w:p>
    <w:p>
      <w:pPr>
        <w:numPr>
          <w:ilvl w:val="0"/>
          <w:numId w:val="8575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Sedimentuntersuchungen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Bewertung des Landschaftsbildes</w:t>
      </w:r>
    </w:p>
    <w:p>
      <w:pPr>
        <w:numPr>
          <w:ilvl w:val="0"/>
          <w:numId w:val="1560240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Fotodokumentation</w:t>
      </w:r>
    </w:p>
    <w:p>
      <w:pPr>
        <w:numPr>
          <w:ilvl w:val="0"/>
          <w:numId w:val="1560240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Beurteilung des Erholungsfaktors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Technische Beschreibung der Anlagenteile</w:t>
      </w:r>
    </w:p>
    <w:p>
      <w:pPr>
        <w:numPr>
          <w:ilvl w:val="0"/>
          <w:numId w:val="405552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Wasserfassung samt Restwasser-Dotiervorrichtung</w:t>
      </w:r>
    </w:p>
    <w:p>
      <w:pPr>
        <w:numPr>
          <w:ilvl w:val="0"/>
          <w:numId w:val="405552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Entsandungsbauwerk</w:t>
      </w:r>
    </w:p>
    <w:p>
      <w:pPr>
        <w:numPr>
          <w:ilvl w:val="0"/>
          <w:numId w:val="405552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Fischaufstiegshilfe</w:t>
      </w:r>
    </w:p>
    <w:p>
      <w:pPr>
        <w:numPr>
          <w:ilvl w:val="0"/>
          <w:numId w:val="405552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Druckleitungen oder Oberwasserkanal</w:t>
      </w:r>
    </w:p>
    <w:p>
      <w:pPr>
        <w:numPr>
          <w:ilvl w:val="0"/>
          <w:numId w:val="405552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Wehranlage</w:t>
      </w:r>
    </w:p>
    <w:p>
      <w:pPr>
        <w:numPr>
          <w:ilvl w:val="0"/>
          <w:numId w:val="405552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Krafthaus, Turbine, Generator und Steuerungseinrichtung</w:t>
      </w:r>
    </w:p>
    <w:p>
      <w:pPr>
        <w:numPr>
          <w:ilvl w:val="0"/>
          <w:numId w:val="405552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Unterwasserkanal</w:t>
      </w:r>
    </w:p>
    <w:p>
      <w:pPr>
        <w:numPr>
          <w:ilvl w:val="0"/>
          <w:numId w:val="405552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Spülvorgänge</w:t>
      </w:r>
    </w:p>
    <w:p>
      <w:pPr>
        <w:numPr>
          <w:ilvl w:val="0"/>
          <w:numId w:val="405552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Maßnahmen zur Störfallvermeidung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Berechnungen und Berechnungsgrundlagen</w:t>
      </w:r>
    </w:p>
    <w:p>
      <w:pPr>
        <w:numPr>
          <w:ilvl w:val="0"/>
          <w:numId w:val="425579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Darstellung der Abfluss-, Leistungs- und
Fallhöhendauerlinie</w:t>
      </w:r>
    </w:p>
    <w:p>
      <w:pPr>
        <w:numPr>
          <w:ilvl w:val="0"/>
          <w:numId w:val="425579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Hydraulische Berechnung der Wasserfassung und des
Sandfanges</w:t>
      </w:r>
    </w:p>
    <w:p>
      <w:pPr>
        <w:numPr>
          <w:ilvl w:val="0"/>
          <w:numId w:val="425579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Hydraulische Berechnung der Wehranlage</w:t>
      </w:r>
    </w:p>
    <w:p>
      <w:pPr>
        <w:numPr>
          <w:ilvl w:val="0"/>
          <w:numId w:val="425579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Druckleitungs- und Druckstoßberechnung</w:t>
      </w:r>
    </w:p>
    <w:p>
      <w:pPr>
        <w:numPr>
          <w:ilvl w:val="0"/>
          <w:numId w:val="425579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Stauraumberechnung und Hochwasserentlastung</w:t>
      </w:r>
    </w:p>
    <w:p>
      <w:pPr>
        <w:numPr>
          <w:ilvl w:val="0"/>
          <w:numId w:val="425579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Stabilitätsnachweise (Kipp- und Gleitsicherheit)</w:t>
      </w:r>
    </w:p>
    <w:p>
      <w:pPr>
        <w:numPr>
          <w:ilvl w:val="0"/>
          <w:numId w:val="425579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Kennlinien der hydraulischen Maschinen</w:t>
      </w:r>
    </w:p>
    <w:p>
      <w:pPr>
        <w:numPr>
          <w:ilvl w:val="0"/>
          <w:numId w:val="425579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Leistungsangabe, Jahresarbeitsvermögen und
Wirtschaftlichkeitsberechnung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Fremde Rechte</w:t>
      </w:r>
    </w:p>
    <w:p>
      <w:pPr>
        <w:numPr>
          <w:ilvl w:val="0"/>
          <w:numId w:val="2205669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Grundstücksverzeichnis sämtlicher Eigentümer (Adresse und Art
der Inanspruchnahme)</w:t>
      </w:r>
    </w:p>
    <w:p>
      <w:pPr>
        <w:numPr>
          <w:ilvl w:val="0"/>
          <w:numId w:val="2205669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Nennung der Fischereiberechtigten</w:t>
      </w:r>
    </w:p>
    <w:p>
      <w:pPr>
        <w:numPr>
          <w:ilvl w:val="0"/>
          <w:numId w:val="2205669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Nennung der Ober- und Unterlieger (Wasserberechtigte)</w:t>
      </w:r>
    </w:p>
    <w:p>
      <w:pPr>
        <w:numPr>
          <w:ilvl w:val="0"/>
          <w:numId w:val="2205669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Vorlage von vorhandenen Zustimmungserklärungen und
privat-rechtlichen Vereinbarungen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 Planunterlagen</w:t>
      </w:r>
    </w:p>
    <w:p>
      <w:pPr>
        <w:numPr>
          <w:ilvl w:val="0"/>
          <w:numId w:val="5191707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Übersichtslageplan mit Einzugsgebiet, Maßstab M = 1:25.000</w:t>
      </w:r>
    </w:p>
    <w:p>
      <w:pPr>
        <w:numPr>
          <w:ilvl w:val="0"/>
          <w:numId w:val="5191707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Lageplan als Katasterplan mit Einzeichnung der
wasserbautechnischen Anlagenteile (Objekte) M = 1:2.880, 1:2.000
oder 1:1.000</w:t>
      </w:r>
    </w:p>
    <w:p>
      <w:pPr>
        <w:numPr>
          <w:ilvl w:val="0"/>
          <w:numId w:val="5191707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Hydraulischer Längenschnitt durch die gesamte
Wasserkraftanlage, von der Wasserfassung bis zum Rückgabebauwerk, M
= 1:1.000/1:100 (oder ähnlich)</w:t>
      </w:r>
    </w:p>
    <w:p>
      <w:pPr>
        <w:numPr>
          <w:ilvl w:val="0"/>
          <w:numId w:val="5191707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Objektspläne (Wasserfassung, Entsandungsbauwerk,
Fischaufstiegshilfe, Druckleitung, Oberwasserkanal oder
Ausleitungskanal, Wehranlage, Krafthaus, Rückgabebauwerk,
Hochwasserentlastung) M = 1:100 oder 1:50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 Zustimmungserklärungen der betroffenen Grundeigentümer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17071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2056693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557940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055528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5602408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755816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7600262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07972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322079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1058372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7962545">
    <w:multiLevelType w:val="hybridMultilevel"/>
    <w:lvl w:ilvl="0" w:tplc="72218913">
      <w:start w:val="1"/>
      <w:numFmt w:val="decimal"/>
      <w:lvlText w:val="%1."/>
      <w:lvlJc w:val="left"/>
      <w:pPr>
        <w:ind w:left="720" w:hanging="360"/>
      </w:pPr>
    </w:lvl>
    <w:lvl w:ilvl="1" w:tplc="72218913" w:tentative="1">
      <w:start w:val="1"/>
      <w:numFmt w:val="lowerLetter"/>
      <w:lvlText w:val="%2."/>
      <w:lvlJc w:val="left"/>
      <w:pPr>
        <w:ind w:left="1440" w:hanging="360"/>
      </w:pPr>
    </w:lvl>
    <w:lvl w:ilvl="2" w:tplc="72218913" w:tentative="1">
      <w:start w:val="1"/>
      <w:numFmt w:val="lowerRoman"/>
      <w:lvlText w:val="%3."/>
      <w:lvlJc w:val="right"/>
      <w:pPr>
        <w:ind w:left="2160" w:hanging="180"/>
      </w:pPr>
    </w:lvl>
    <w:lvl w:ilvl="3" w:tplc="72218913" w:tentative="1">
      <w:start w:val="1"/>
      <w:numFmt w:val="decimal"/>
      <w:lvlText w:val="%4."/>
      <w:lvlJc w:val="left"/>
      <w:pPr>
        <w:ind w:left="2880" w:hanging="360"/>
      </w:pPr>
    </w:lvl>
    <w:lvl w:ilvl="4" w:tplc="72218913" w:tentative="1">
      <w:start w:val="1"/>
      <w:numFmt w:val="lowerLetter"/>
      <w:lvlText w:val="%5."/>
      <w:lvlJc w:val="left"/>
      <w:pPr>
        <w:ind w:left="3600" w:hanging="360"/>
      </w:pPr>
    </w:lvl>
    <w:lvl w:ilvl="5" w:tplc="72218913" w:tentative="1">
      <w:start w:val="1"/>
      <w:numFmt w:val="lowerRoman"/>
      <w:lvlText w:val="%6."/>
      <w:lvlJc w:val="right"/>
      <w:pPr>
        <w:ind w:left="4320" w:hanging="180"/>
      </w:pPr>
    </w:lvl>
    <w:lvl w:ilvl="6" w:tplc="72218913" w:tentative="1">
      <w:start w:val="1"/>
      <w:numFmt w:val="decimal"/>
      <w:lvlText w:val="%7."/>
      <w:lvlJc w:val="left"/>
      <w:pPr>
        <w:ind w:left="5040" w:hanging="360"/>
      </w:pPr>
    </w:lvl>
    <w:lvl w:ilvl="7" w:tplc="72218913" w:tentative="1">
      <w:start w:val="1"/>
      <w:numFmt w:val="lowerLetter"/>
      <w:lvlText w:val="%8."/>
      <w:lvlJc w:val="left"/>
      <w:pPr>
        <w:ind w:left="5760" w:hanging="360"/>
      </w:pPr>
    </w:lvl>
    <w:lvl w:ilvl="8" w:tplc="72218913" w:tentative="1">
      <w:start w:val="1"/>
      <w:numFmt w:val="lowerRoman"/>
      <w:lvlText w:val="%9."/>
      <w:lvlJc w:val="right"/>
      <w:pPr>
        <w:ind w:left="6480" w:hanging="180"/>
      </w:pPr>
    </w:lvl>
  </w:abstractNum>
  <w:abstractNum w:abstractNumId="18241114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7300059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7962544">
    <w:multiLevelType w:val="hybridMultilevel"/>
    <w:lvl w:ilvl="0" w:tplc="17792820">
      <w:start w:val="1"/>
      <w:numFmt w:val="decimal"/>
      <w:lvlText w:val="%1."/>
      <w:lvlJc w:val="left"/>
      <w:pPr>
        <w:ind w:left="720" w:hanging="360"/>
      </w:pPr>
    </w:lvl>
    <w:lvl w:ilvl="1" w:tplc="17792820" w:tentative="1">
      <w:start w:val="1"/>
      <w:numFmt w:val="lowerLetter"/>
      <w:lvlText w:val="%2."/>
      <w:lvlJc w:val="left"/>
      <w:pPr>
        <w:ind w:left="1440" w:hanging="360"/>
      </w:pPr>
    </w:lvl>
    <w:lvl w:ilvl="2" w:tplc="17792820" w:tentative="1">
      <w:start w:val="1"/>
      <w:numFmt w:val="lowerRoman"/>
      <w:lvlText w:val="%3."/>
      <w:lvlJc w:val="right"/>
      <w:pPr>
        <w:ind w:left="2160" w:hanging="180"/>
      </w:pPr>
    </w:lvl>
    <w:lvl w:ilvl="3" w:tplc="17792820" w:tentative="1">
      <w:start w:val="1"/>
      <w:numFmt w:val="decimal"/>
      <w:lvlText w:val="%4."/>
      <w:lvlJc w:val="left"/>
      <w:pPr>
        <w:ind w:left="2880" w:hanging="360"/>
      </w:pPr>
    </w:lvl>
    <w:lvl w:ilvl="4" w:tplc="17792820" w:tentative="1">
      <w:start w:val="1"/>
      <w:numFmt w:val="lowerLetter"/>
      <w:lvlText w:val="%5."/>
      <w:lvlJc w:val="left"/>
      <w:pPr>
        <w:ind w:left="3600" w:hanging="360"/>
      </w:pPr>
    </w:lvl>
    <w:lvl w:ilvl="5" w:tplc="17792820" w:tentative="1">
      <w:start w:val="1"/>
      <w:numFmt w:val="lowerRoman"/>
      <w:lvlText w:val="%6."/>
      <w:lvlJc w:val="right"/>
      <w:pPr>
        <w:ind w:left="4320" w:hanging="180"/>
      </w:pPr>
    </w:lvl>
    <w:lvl w:ilvl="6" w:tplc="17792820" w:tentative="1">
      <w:start w:val="1"/>
      <w:numFmt w:val="decimal"/>
      <w:lvlText w:val="%7."/>
      <w:lvlJc w:val="left"/>
      <w:pPr>
        <w:ind w:left="5040" w:hanging="360"/>
      </w:pPr>
    </w:lvl>
    <w:lvl w:ilvl="7" w:tplc="17792820" w:tentative="1">
      <w:start w:val="1"/>
      <w:numFmt w:val="lowerLetter"/>
      <w:lvlText w:val="%8."/>
      <w:lvlJc w:val="left"/>
      <w:pPr>
        <w:ind w:left="5760" w:hanging="360"/>
      </w:pPr>
    </w:lvl>
    <w:lvl w:ilvl="8" w:tplc="17792820" w:tentative="1">
      <w:start w:val="1"/>
      <w:numFmt w:val="lowerRoman"/>
      <w:lvlText w:val="%9."/>
      <w:lvlJc w:val="right"/>
      <w:pPr>
        <w:ind w:left="6480" w:hanging="180"/>
      </w:pPr>
    </w:lvl>
  </w:abstractNum>
  <w:abstractNum w:abstractNumId="97962543">
    <w:multiLevelType w:val="hybridMultilevel"/>
    <w:lvl w:ilvl="0" w:tplc="55448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62543">
    <w:abstractNumId w:val="97962543"/>
  </w:num>
  <w:num w:numId="97962544">
    <w:abstractNumId w:val="97962544"/>
  </w:num>
  <w:num w:numId="973000592">
    <w:abstractNumId w:val="973000592"/>
  </w:num>
  <w:num w:numId="182411145">
    <w:abstractNumId w:val="182411145"/>
  </w:num>
  <w:num w:numId="97962545">
    <w:abstractNumId w:val="97962545"/>
  </w:num>
  <w:num w:numId="710583726">
    <w:abstractNumId w:val="710583726"/>
  </w:num>
  <w:num w:numId="443220794">
    <w:abstractNumId w:val="443220794"/>
  </w:num>
  <w:num w:numId="850797285">
    <w:abstractNumId w:val="850797285"/>
  </w:num>
  <w:num w:numId="476002626">
    <w:abstractNumId w:val="476002626"/>
  </w:num>
  <w:num w:numId="857558164">
    <w:abstractNumId w:val="857558164"/>
  </w:num>
  <w:num w:numId="156024082">
    <w:abstractNumId w:val="156024082"/>
  </w:num>
  <w:num w:numId="405552828">
    <w:abstractNumId w:val="405552828"/>
  </w:num>
  <w:num w:numId="425579404">
    <w:abstractNumId w:val="425579404"/>
  </w:num>
  <w:num w:numId="220566930">
    <w:abstractNumId w:val="220566930"/>
  </w:num>
  <w:num w:numId="519170715">
    <w:abstractNumId w:val="519170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87797412" Type="http://schemas.openxmlformats.org/officeDocument/2006/relationships/numbering" Target="numbering.xml"/><Relationship Id="rId39352180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