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1579318" w:name="document"/>
    <w:bookmarkEnd w:id="11579318"/>
    <w:p/>
    <w:p>
      <w:pPr>
        <w:widowControl w:val="on"/>
        <w:pBdr/>
        <w:spacing w:before="0" w:after="280" w:line="240" w:lineRule="auto"/>
        <w:ind w:left="0" w:right="0"/>
        <w:jc w:val="left"/>
      </w:pPr>
      <w:r>
        <w:rPr>
          <w:rFonts w:ascii="Arial" w:hAnsi="Arial" w:eastAsia="Arial" w:cs="Arial"/>
          <w:color w:val="363A40"/>
          <w:sz w:val="24"/>
          <w:szCs w:val="24"/>
        </w:rPr>
        <w:t xml:space="preserve">Dokument-ID: 983779 | Agnes Eigner | Muster |
Checkliste</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Checkliste Dienstbarkeitsverträge</w:t>
      </w:r>
    </w:p>
    <w:p>
      <w:pPr>
        <w:numPr>
          <w:ilvl w:val="0"/>
          <w:numId w:val="1369603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Soll eine persönliche Dienstbarkeit zugunsten einer bestimmten
Person oder eine Grunddienstbarkeit, dh eine Dienstbarkeit
zugunsten des jeweiligen Eigentümers eines bestimmten Grundstücks
begründet werden?</w:t>
      </w:r>
    </w:p>
    <w:p>
      <w:pPr>
        <w:numPr>
          <w:ilvl w:val="0"/>
          <w:numId w:val="1369603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Art und Umfang der Dienstbarkeit sowie die Rechte und Pflichten
der einzelnen Vertragsparteien sollten im Vertragstext möglichst
genau beschrieben werden.</w:t>
      </w:r>
    </w:p>
    <w:p>
      <w:pPr>
        <w:numPr>
          <w:ilvl w:val="0"/>
          <w:numId w:val="1369603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Sollte keine persönliche Dienstbarkeit, welche spätestens mit
dem Tod der berechtigten Person erlischt, eingeräumt werden, so ist
zu überlegen, ob und unter welchen Voraussetzungen die
Dienstbarkeit erlöschen soll bzw ob und zu welchen Bedingungen eine
Kündbarkeit des Dienstvertrages vereinbart werden soll. So ist auch
die Vereinbarung von zeitlich befristeten Dienstbarkeiten sowohl
bei persönlichen Dienstbarkeiten als auch bei Grunddienstbarkeiten
möglich.</w:t>
      </w:r>
    </w:p>
    <w:p>
      <w:pPr>
        <w:numPr>
          <w:ilvl w:val="0"/>
          <w:numId w:val="1369603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Für den Fall, dass die Dienstbarkeit unter bestimmten
Voraussetzungen erlischt oder der Dienstbarkeitsvertrag gekündigt
werden kann, empfiehlt es sich, eine Regelung betreffend die
Löschung der Dienstbarkeit (zB Verpflichtung zur Ausstellung einer
Löschungserklärung) vorzusehen.</w:t>
      </w:r>
    </w:p>
    <w:p>
      <w:pPr>
        <w:numPr>
          <w:ilvl w:val="0"/>
          <w:numId w:val="1369603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Es besteht die Möglichkeit, im Dienstbarkeitsvertrag Regelungen
für den Verkauf bzw die Teilung des herrschenden bzw dienenden
Grundstücks vorzusehen.</w:t>
      </w:r>
    </w:p>
    <w:p>
      <w:pPr>
        <w:numPr>
          <w:ilvl w:val="0"/>
          <w:numId w:val="1369603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Soweit sich die Einräumung einer Dienstbarkeit auf die
Errichtung eines Weges bzw von Baulichkeiten bezieht, empfiehlt es
sich, deren Erhaltung sowie die Tragung der Kosten hierfür zu
regeln.</w:t>
      </w:r>
    </w:p>
    <w:p>
      <w:pPr>
        <w:numPr>
          <w:ilvl w:val="0"/>
          <w:numId w:val="1369603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 beachten ist, dass eine Dienstbarkeit den Eigentümer des
dienenden Grundstücks entweder zur Duldung oder Unterlassung von
Handlungen verpflichtet, jedoch – im Gegensatz zu den Reallasten –
nicht zu aktiven Handlungen oder der Tragung bestimmter
Aufwendungen.</w:t>
      </w:r>
    </w:p>
    <w:p>
      <w:pPr>
        <w:numPr>
          <w:ilvl w:val="0"/>
          <w:numId w:val="1369603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Wird mit der Einräumung einer Dienstbarkeit eine bestimmte
Haftungsmöglichkeit begründet (zB Wegehalterhaftung), so sollte
geregelt werden, wen die Haftung trifft. Selbiges gilt für die
allfällige Verpflichtung zur Einhaltung öffentlich-rechtlicher
Verpflichtungen (zB Schneeräumung).</w:t>
      </w:r>
    </w:p>
    <w:p>
      <w:pPr>
        <w:numPr>
          <w:ilvl w:val="0"/>
          <w:numId w:val="1369603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Sollte sich die Dienstbarkeit auf den bestimmten Bereich eines
Grundstücks beziehen, so sollte dem Dienstvertrag ein Plan
angeschlossen werden, in welchem jener Bereich, welcher von der
Dienstbarkeit betroffen ist, möglichst genau dargestellt und leicht
erkennbar ist (sowohl bei Farb- als auch Schwarz-weiß-Scans bzw
Drucken). Dies empfiehlt sich auch im Hinblick auf eine allfällige
spätere Teilung des dienenden Grundstücks.</w:t>
      </w:r>
    </w:p>
    <w:p>
      <w:pPr>
        <w:numPr>
          <w:ilvl w:val="0"/>
          <w:numId w:val="1369603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Sollte im Lastenblatt des dienenden Grundstücks bereits ein
Belastungsverbot einverleibt sein, bedarf die Einverleibung der
Dienstbarkeit im Grundbuch der Zustimmung des jeweils
Verbotsberechtigten. In diesem Fall ist es möglich, dass der
Verbotsberechtigte dem Dienstbarkeitsvertrag beitritt und seine
Zustimmung zur Belastung erteilt.</w:t>
      </w:r>
    </w:p>
    <w:p>
      <w:pPr>
        <w:numPr>
          <w:ilvl w:val="0"/>
          <w:numId w:val="1369603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Im Falle von Namensänderungen (beispielsweise dem zwischen dem
Erwerb der Liegenschaft und dem Vertragsabschluss) ist bei
natürlichen Personen spätestens bei der Einbringung des
Grundbuchsgesuches eine Ausfertigung jener Urkunde, aus welcher
sich die Namensänderung ergibt (zB Heiratsurkunde, Heiratsurkunde
mit Vermerk der Scheidung und Wiederannahme des Familiennamens vor
der Eheschließung, Bescheid der Verwaltungsbehörde mit Bestätigung
der Rechtskraft) vorzulegen. Es ist jedoch auch möglich, die
entsprechende Urkunde dem Vertrag über die Bestellung der
Dienstbarkeit in Kopie als integrierender Bestandteil des Vertrages
anzuschließen und im Vertragstext auf die erfolgte Namensänderung
(beispielsweise im Rahmen der Präambel) einzugehen.</w:t>
      </w:r>
    </w:p>
    <w:p>
      <w:pPr>
        <w:numPr>
          <w:ilvl w:val="0"/>
          <w:numId w:val="1369603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Nachweis einer Änderung des Firmenwortlautes erfolgt bei
juristischen Personen durch Vorlage eines notariell beglaubigten
Auszuges aus dem Firmenbuch mit historischen Daten oder einer
entsprechenden Amtsbestätigung über die Änderung des
Firmenwortlautes.</w:t>
      </w:r>
    </w:p>
    <w:p>
      <w:pPr>
        <w:numPr>
          <w:ilvl w:val="0"/>
          <w:numId w:val="1369603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 beachten ist, dass der Dienstbarkeitsvertrag dem
Formerfordernis des § 31 Grundbuchsgesetz entsprechen muss, dh
die Einverleibung aufgrund eines Dienstbarkeitsvertrages nur dann
erfolgen kann, wenn die Unterschriften der Vertragsparteien
gerichtlich oder notariell beglaubigt sind und der
Beglaubigungsvermerk bei natürlichen Personen auch das Geburtsdatum
enthält.</w:t>
      </w:r>
    </w:p>
    <w:p>
      <w:pPr>
        <w:numPr>
          <w:ilvl w:val="0"/>
          <w:numId w:val="1369603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Es ist darauf zu achten, dass der Dienstbarkeitsvertrag in der
allenfalls für seine Gültigkeit erforderlichen Form (vgl § 1
Notariatszwangsgesetz) abgeschlossen wird, wenn beispielsweise die
Einräumung einer Dienstbarkeit im Rahmen eines Schenkungsvertrages
ohne wirkliche Übergabe vereinbart wird.</w:t>
      </w:r>
    </w:p>
    <w:p>
      <w:pPr>
        <w:numPr>
          <w:ilvl w:val="0"/>
          <w:numId w:val="1369603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Soll die Dienstbarkeit gegen ein Entgelt eingeräumt werden, so
ist zu überlegen, ob dieses einmalig oder regelmäßig
(beispielsweise monatlich oder jährlich) ausbezahlt wird.</w:t>
      </w:r>
    </w:p>
    <w:p>
      <w:pPr>
        <w:numPr>
          <w:ilvl w:val="0"/>
          <w:numId w:val="1369603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Betreffend die Höhe eines allfälligen Entgelts können je nach
Art und Weise der Beeinträchtigung auch die ortsüblichen Miet- bzw
Pachtzinse zur Orientierung für die Höhe des Entgelts herangezogen
werden.</w:t>
      </w:r>
    </w:p>
    <w:p>
      <w:pPr>
        <w:numPr>
          <w:ilvl w:val="0"/>
          <w:numId w:val="1369603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Vergebührung eines entgeltlichen Vertrages: Im Falle der
Entgeltlichkeit des Dienstvertrages ist dieser gem § 33
TP 9 Gebührengesetz zu vergebühren, wobei die Rechtsgeschäftsgebühr
2 % des vereinbarten Entgelts beträgt.</w:t>
      </w:r>
    </w:p>
    <w:p>
      <w:pPr>
        <w:numPr>
          <w:ilvl w:val="0"/>
          <w:numId w:val="1369603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Bei der Gestaltung der Aufsandungserklärung ist zu beachten,
dass die Grunddienstbarkeit nicht nur im Lastenblatt (C-Blatt) des
dienenden Grundstücks einzuverleiben, sondern auch in der Einlage
des herrschenden Grundstücks im Gutsbestandsblatt (A2-Blatt)
ersichtlich zu machen ist.</w:t>
      </w:r>
    </w:p>
    <w:p>
      <w:pPr>
        <w:numPr>
          <w:ilvl w:val="0"/>
          <w:numId w:val="1369603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Wenn im Rahmen eines Dienstbarkeitsvertrages auf eine bereits
in der Urkundensammlung des Grundbuchs vorhandene Urkunde verwiesen
werden sollte, empfiehlt es sich durch Einsichtnahme zu überprüfen,
ob sich bei Gericht tatsächlich das Original der Urkunde befindet.
In der Vergangenheit wurden sehr oft lediglich beglaubigte
(schwarz-weiß) Kopien der Originalurkunde in die Urkundensammlung
des Grundbuchsgerichts gegeben, sodass man nicht auf diese
verweisen konnte.</w:t>
      </w:r>
    </w:p>
    <w:p>
      <w:pPr>
        <w:numPr>
          <w:ilvl w:val="0"/>
          <w:numId w:val="13696031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 beachten ist, dass im Falle von Teilungen eines Grundstücks
die Dienstbarkeiten grundsätzlich mit zu übertragen sind. Es
empfiehlt sich daher bereits im Dienstbarkeitsvertrag den jeweils
in Anspruch genommenen Teil eines Grundstücks möglichst genau zu
definieren, um eine spätere Lastenfreistellung zu erleichtern.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696031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0358282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4917229">
    <w:multiLevelType w:val="hybridMultilevel"/>
    <w:lvl w:ilvl="0" w:tplc="12759234">
      <w:start w:val="1"/>
      <w:numFmt w:val="decimal"/>
      <w:lvlText w:val="%1."/>
      <w:lvlJc w:val="left"/>
      <w:pPr>
        <w:ind w:left="720" w:hanging="360"/>
      </w:pPr>
    </w:lvl>
    <w:lvl w:ilvl="1" w:tplc="12759234" w:tentative="1">
      <w:start w:val="1"/>
      <w:numFmt w:val="lowerLetter"/>
      <w:lvlText w:val="%2."/>
      <w:lvlJc w:val="left"/>
      <w:pPr>
        <w:ind w:left="1440" w:hanging="360"/>
      </w:pPr>
    </w:lvl>
    <w:lvl w:ilvl="2" w:tplc="12759234" w:tentative="1">
      <w:start w:val="1"/>
      <w:numFmt w:val="lowerRoman"/>
      <w:lvlText w:val="%3."/>
      <w:lvlJc w:val="right"/>
      <w:pPr>
        <w:ind w:left="2160" w:hanging="180"/>
      </w:pPr>
    </w:lvl>
    <w:lvl w:ilvl="3" w:tplc="12759234" w:tentative="1">
      <w:start w:val="1"/>
      <w:numFmt w:val="decimal"/>
      <w:lvlText w:val="%4."/>
      <w:lvlJc w:val="left"/>
      <w:pPr>
        <w:ind w:left="2880" w:hanging="360"/>
      </w:pPr>
    </w:lvl>
    <w:lvl w:ilvl="4" w:tplc="12759234" w:tentative="1">
      <w:start w:val="1"/>
      <w:numFmt w:val="lowerLetter"/>
      <w:lvlText w:val="%5."/>
      <w:lvlJc w:val="left"/>
      <w:pPr>
        <w:ind w:left="3600" w:hanging="360"/>
      </w:pPr>
    </w:lvl>
    <w:lvl w:ilvl="5" w:tplc="12759234" w:tentative="1">
      <w:start w:val="1"/>
      <w:numFmt w:val="lowerRoman"/>
      <w:lvlText w:val="%6."/>
      <w:lvlJc w:val="right"/>
      <w:pPr>
        <w:ind w:left="4320" w:hanging="180"/>
      </w:pPr>
    </w:lvl>
    <w:lvl w:ilvl="6" w:tplc="12759234" w:tentative="1">
      <w:start w:val="1"/>
      <w:numFmt w:val="decimal"/>
      <w:lvlText w:val="%7."/>
      <w:lvlJc w:val="left"/>
      <w:pPr>
        <w:ind w:left="5040" w:hanging="360"/>
      </w:pPr>
    </w:lvl>
    <w:lvl w:ilvl="7" w:tplc="12759234" w:tentative="1">
      <w:start w:val="1"/>
      <w:numFmt w:val="lowerLetter"/>
      <w:lvlText w:val="%8."/>
      <w:lvlJc w:val="left"/>
      <w:pPr>
        <w:ind w:left="5760" w:hanging="360"/>
      </w:pPr>
    </w:lvl>
    <w:lvl w:ilvl="8" w:tplc="12759234" w:tentative="1">
      <w:start w:val="1"/>
      <w:numFmt w:val="lowerRoman"/>
      <w:lvlText w:val="%9."/>
      <w:lvlJc w:val="right"/>
      <w:pPr>
        <w:ind w:left="6480" w:hanging="180"/>
      </w:pPr>
    </w:lvl>
  </w:abstractNum>
  <w:abstractNum w:abstractNumId="64917228">
    <w:multiLevelType w:val="hybridMultilevel"/>
    <w:lvl w:ilvl="0" w:tplc="384989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917228">
    <w:abstractNumId w:val="64917228"/>
  </w:num>
  <w:num w:numId="64917229">
    <w:abstractNumId w:val="64917229"/>
  </w:num>
  <w:num w:numId="103582826">
    <w:abstractNumId w:val="103582826"/>
  </w:num>
  <w:num w:numId="136960313">
    <w:abstractNumId w:val="1369603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734828431" Type="http://schemas.openxmlformats.org/officeDocument/2006/relationships/numbering" Target="numbering.xml"/><Relationship Id="rId338017660"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