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8681338" w:name="document"/>
    <w:bookmarkEnd w:id="68681338"/>
    <w:p/>
    <w:p>
      <w:pPr>
        <w:widowControl w:val="on"/>
        <w:pBdr/>
        <w:spacing w:before="0" w:after="280" w:line="240" w:lineRule="auto"/>
        <w:ind w:left="0" w:right="0"/>
        <w:jc w:val="left"/>
      </w:pPr>
      <w:r>
        <w:rPr>
          <w:rFonts w:ascii="Arial" w:hAnsi="Arial" w:eastAsia="Arial" w:cs="Arial"/>
          <w:color w:val="363A40"/>
          <w:sz w:val="24"/>
          <w:szCs w:val="24"/>
        </w:rPr>
        <w:t xml:space="preserve">Dokument-ID: 1090893 | Andrea Futterknecht |
Muster | Beschluss</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Firmenänderung (GV-Protokoll)</w:t>
      </w:r>
    </w:p>
    <w:p>
      <w:pPr>
        <w:widowControl w:val="on"/>
        <w:pBdr/>
        <w:spacing w:before="140" w:after="240" w:line="288" w:lineRule="auto"/>
        <w:ind w:left="0" w:right="0"/>
        <w:jc w:val="left"/>
      </w:pPr>
      <w:r>
        <w:rPr>
          <w:rFonts w:ascii="Arial" w:hAnsi="Arial" w:eastAsia="Arial" w:cs="Arial"/>
          <w:color w:val="000000"/>
          <w:sz w:val="20"/>
          <w:szCs w:val="20"/>
        </w:rPr>
        <w:t xml:space="preserve">GZ: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Protokoll</w:t>
      </w:r>
    </w:p>
    <w:p>
      <w:pPr>
        <w:widowControl w:val="on"/>
        <w:pBdr/>
        <w:spacing w:before="140" w:after="240" w:line="288" w:lineRule="auto"/>
        <w:ind w:left="0" w:right="0"/>
        <w:jc w:val="left"/>
      </w:pPr>
      <w:r>
        <w:rPr>
          <w:rFonts w:ascii="Arial" w:hAnsi="Arial" w:eastAsia="Arial" w:cs="Arial"/>
          <w:color w:val="000000"/>
          <w:sz w:val="20"/>
          <w:szCs w:val="20"/>
        </w:rPr>
        <w:t xml:space="preserve">Aufgenommen am … von mir, Dr. Norbert Nobel, öffentlicher Notar
mit dem Amtssitz in Wien und der Amtskanzlei in 1010 Wien,
Syndikusweg 1, über die heute in den Geschäftsräumen der XYZ GmbH,
1010 Wien, Musterplatz 1, wohin ich mich über Ersuchen begeben
habe, abgehaltene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außerordentliche Generalversammlung
der XYZ Handels GmbH (FN 22222b)</w:t>
      </w:r>
    </w:p>
    <w:p>
      <w:pPr>
        <w:widowControl w:val="on"/>
        <w:pBdr/>
        <w:spacing w:before="140" w:after="240" w:line="288" w:lineRule="auto"/>
        <w:ind w:left="0" w:right="0"/>
        <w:jc w:val="left"/>
      </w:pPr>
      <w:r>
        <w:rPr>
          <w:rFonts w:ascii="Arial" w:hAnsi="Arial" w:eastAsia="Arial" w:cs="Arial"/>
          <w:color w:val="000000"/>
          <w:sz w:val="20"/>
          <w:szCs w:val="20"/>
        </w:rPr>
        <w:t xml:space="preserve">mit dem Sitz in Wien und über die dabei in meiner Gegenwart
geführten Verhandlungen und gefassten Beschlüsse:</w:t>
      </w:r>
    </w:p>
    <w:p>
      <w:pPr>
        <w:widowControl w:val="on"/>
        <w:pBdr/>
        <w:spacing w:before="140" w:after="240" w:line="288" w:lineRule="auto"/>
        <w:ind w:left="0" w:right="0"/>
        <w:jc w:val="left"/>
      </w:pPr>
      <w:r>
        <w:rPr>
          <w:rFonts w:ascii="Arial" w:hAnsi="Arial" w:eastAsia="Arial" w:cs="Arial"/>
          <w:color w:val="000000"/>
          <w:sz w:val="20"/>
          <w:szCs w:val="20"/>
        </w:rPr>
        <w:t xml:space="preserve">Gegenwärtig:</w:t>
      </w:r>
    </w:p>
    <w:p>
      <w:pPr>
        <w:numPr>
          <w:ilvl w:val="0"/>
          <w:numId w:val="9434374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 Martin Muster, geb …, wohnhaft in …</w:t>
      </w:r>
    </w:p>
    <w:p>
      <w:pPr>
        <w:numPr>
          <w:ilvl w:val="0"/>
          <w:numId w:val="9434374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Doktor Martha Muster, geb …, wohnhaft in …,</w:t>
      </w:r>
      <w:r>
        <w:rPr>
          <w:rFonts w:ascii="Arial" w:hAnsi="Arial" w:eastAsia="Arial" w:cs="Arial"/>
          <w:color w:val="000000"/>
          <w:sz w:val="20"/>
          <w:szCs w:val="20"/>
        </w:rPr>
        <w:br/>
        <w:t xml:space="preserve">als Gesellschafter und</w:t>
      </w:r>
    </w:p>
    <w:p>
      <w:pPr>
        <w:numPr>
          <w:ilvl w:val="0"/>
          <w:numId w:val="94343748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beurkundende öffentliche Notar</w:t>
      </w:r>
    </w:p>
    <w:p>
      <w:pPr>
        <w:widowControl w:val="on"/>
        <w:pBdr/>
        <w:spacing w:before="140" w:after="240" w:line="288" w:lineRule="auto"/>
        <w:ind w:left="0" w:right="0"/>
        <w:jc w:val="left"/>
      </w:pPr>
      <w:r>
        <w:rPr>
          <w:rFonts w:ascii="Arial" w:hAnsi="Arial" w:eastAsia="Arial" w:cs="Arial"/>
          <w:color w:val="000000"/>
          <w:sz w:val="20"/>
          <w:szCs w:val="20"/>
        </w:rPr>
        <w:t xml:space="preserve">Frau Doktor Martha Muster übernimmt mit Einverständnis aller
Beteiligten den Vorsitz in der heutigen Generalversammlung und
stellt fest, dass das gesamte Stammkapital der XYZ GmbH anwesend
und mit der Abhaltung der heutigen Generalversammlung in Wien
einverstanden ist, sodass die Generalversammlung auch ohne formelle
Einberufung zu allen Tagesordnungspunkten beschlussfähig ist.</w:t>
      </w:r>
    </w:p>
    <w:p>
      <w:pPr>
        <w:widowControl w:val="on"/>
        <w:pBdr/>
        <w:spacing w:before="140" w:after="240" w:line="288" w:lineRule="auto"/>
        <w:ind w:left="0" w:right="0"/>
        <w:jc w:val="left"/>
      </w:pPr>
      <w:r>
        <w:rPr>
          <w:rFonts w:ascii="Arial" w:hAnsi="Arial" w:eastAsia="Arial" w:cs="Arial"/>
          <w:color w:val="000000"/>
          <w:sz w:val="20"/>
          <w:szCs w:val="20"/>
        </w:rPr>
        <w:t xml:space="preserve">Es werden einstimmig folgende Beschlüsse gefasst:</w:t>
      </w:r>
    </w:p>
    <w:p>
      <w:pPr>
        <w:numPr>
          <w:ilvl w:val="0"/>
          <w:numId w:val="9753021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Firmenwortlaut der Gesellschaft wird von XYZ GmbH in ABC
Gesellschaft mbH geändert.</w:t>
      </w:r>
    </w:p>
    <w:p>
      <w:pPr>
        <w:numPr>
          <w:ilvl w:val="0"/>
          <w:numId w:val="97530212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Dementsprechend wird Punkt 1.1 des Gesellschaftsvertrages
dergestalt geändert, dass er nunmehr lautet:</w:t>
      </w:r>
    </w:p>
    <w:p>
      <w:pPr>
        <w:widowControl w:val="on"/>
        <w:pBdr/>
        <w:spacing w:before="140" w:after="240" w:line="288" w:lineRule="auto"/>
        <w:ind w:left="0" w:right="0"/>
        <w:jc w:val="center"/>
      </w:pPr>
      <w:r>
        <w:rPr>
          <w:rFonts w:ascii="Arial" w:hAnsi="Arial" w:eastAsia="Arial" w:cs="Arial"/>
          <w:color w:val="000000"/>
          <w:sz w:val="20"/>
          <w:szCs w:val="20"/>
        </w:rPr>
        <w:t xml:space="preserve">Die Firma der Gesellschaft
lautet:</w:t>
      </w:r>
      <w:r>
        <w:rPr>
          <w:rFonts w:ascii="Arial" w:hAnsi="Arial" w:eastAsia="Arial" w:cs="Arial"/>
          <w:color w:val="000000"/>
          <w:sz w:val="20"/>
          <w:szCs w:val="20"/>
        </w:rPr>
        <w:br/>
        <w:t xml:space="preserve">ABC Gesellschaft mbH</w:t>
      </w:r>
    </w:p>
    <w:p>
      <w:pPr>
        <w:widowControl w:val="on"/>
        <w:pBdr/>
        <w:spacing w:before="140" w:after="240" w:line="288" w:lineRule="auto"/>
        <w:ind w:left="0" w:right="0"/>
        <w:jc w:val="left"/>
      </w:pPr>
      <w:r>
        <w:rPr>
          <w:rFonts w:ascii="Arial" w:hAnsi="Arial" w:eastAsia="Arial" w:cs="Arial"/>
          <w:color w:val="000000"/>
          <w:sz w:val="20"/>
          <w:szCs w:val="20"/>
        </w:rPr>
        <w:t xml:space="preserve">Hierüber wurde dieses Protokoll aufgenommen, gelesen, genehmigt
und unterfertigt.</w:t>
      </w:r>
    </w:p>
    <w:p>
      <w:pPr>
        <w:widowControl w:val="on"/>
        <w:pBdr/>
        <w:spacing w:before="140" w:after="240" w:line="288" w:lineRule="auto"/>
        <w:ind w:left="0" w:right="0"/>
        <w:jc w:val="left"/>
      </w:pPr>
      <w:r>
        <w:rPr>
          <w:rFonts w:ascii="Arial" w:hAnsi="Arial" w:eastAsia="Arial" w:cs="Arial"/>
          <w:color w:val="000000"/>
          <w:sz w:val="20"/>
          <w:szCs w:val="20"/>
        </w:rPr>
        <w:t xml:space="preserv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710399" w:name="note1"/>
            <w:bookmarkEnd w:id="61710399"/>
            <w:bookmarkStart w:id="9140500985705" w:name="note1"/>
            <w:r>
              <w:rPr>
                <w:rFonts w:ascii="Arial" w:hAnsi="Arial" w:eastAsia="Arial" w:cs="Arial"/>
                <w:b/>
                <w:bCs/>
                <w:color w:val="000000"/>
                <w:position w:val="0"/>
                <w:sz w:val="20"/>
                <w:szCs w:val="20"/>
              </w:rPr>
              <w:t xml:space="preserve">[1]</w:t>
            </w:r>
            <w:bookmarkEnd w:id="91405009857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Firmenname:</w:t>
            </w:r>
            <w:r>
              <w:rPr>
                <w:rFonts w:ascii="Arial" w:hAnsi="Arial" w:eastAsia="Arial" w:cs="Arial"/>
                <w:color w:val="000000"/>
                <w:position w:val="0"/>
                <w:sz w:val="20"/>
                <w:szCs w:val="20"/>
              </w:rPr>
              <w:t xml:space="preserve"> Die GmbH kann zwischen einer
Namens-, Sachfirma oder einer Fantasiebezeichnung als Firma wählen.
Sonstige Zusätze (Geschäftsbezeichnungen, Tätigkeitsangaben,
Markenzeichen) können ebenfalls eingetragen werden, sofern sie
nicht täuschend sind. Die Firma muss zur Kennzeichnung des
Unternehmers geeignet sein und Unterscheidungskraft besitzen. Sie
darf keine Angaben enthalten, die geeignet sind, über geschäftliche
Verhältnisse, die für die angesprochenen Verkehrskreise wesentlich
sind, irrezuführen. Im Verfahren vor dem Firmenbuchgericht wird die
Eignung zur Irreführung nur berücksichtigt, wenn sie ersichtlich
ist (vgl § 18 UGB). Dies gilt nicht nur für neu gebildete
Firmen, sondern auch für Firmenänderungen, weil jede Änderung der
bisherigen Firma gleichzeitig die Wahl einer neuen Firma bedeutet,
die dann auch den Anforderungen an die erstmalige Bildung einer
Firma genügen muss. Dies gilt auch, wenn Firmenzusätze wegfallen
oder Bestandteile, die schon in der alten Firma enthalten waren,
weiterverwendet werden (vgl OGH 6 Ob 188/07a). Die Namen anderer
Personen als der Gesellschafter dürfen in die Firma nicht
aufgenommen werden. Die Firma der Gesellschaft muss jedenfalls den
Rechtsformzusatz Gesellschaft mit beschränkter Haftung bzw
entsprechend abgekürzt („GmbH“ oder „Gesellschaft m.b.H.“)
enthalten.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2464975" w:name="note2"/>
            <w:bookmarkEnd w:id="52464975"/>
            <w:bookmarkStart w:id="9744132886975" w:name="note2"/>
            <w:r>
              <w:rPr>
                <w:rFonts w:ascii="Arial" w:hAnsi="Arial" w:eastAsia="Arial" w:cs="Arial"/>
                <w:b/>
                <w:bCs/>
                <w:color w:val="000000"/>
                <w:position w:val="0"/>
                <w:sz w:val="20"/>
                <w:szCs w:val="20"/>
              </w:rPr>
              <w:t xml:space="preserve">[2]</w:t>
            </w:r>
            <w:bookmarkEnd w:id="97441328869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Kennzeichnungseignung:</w:t>
            </w:r>
            <w:r>
              <w:rPr>
                <w:rFonts w:ascii="Arial" w:hAnsi="Arial" w:eastAsia="Arial" w:cs="Arial"/>
                <w:color w:val="000000"/>
                <w:position w:val="0"/>
                <w:sz w:val="20"/>
                <w:szCs w:val="20"/>
              </w:rPr>
              <w:t xml:space="preserve"> Die beabsichtigte Firma
ist dann zur Kennzeichnung geeignet, wenn sie das Unternehmen
individualisieren kann. Bildzeichen allein (wie etwa „*“ oder „#“)
sind nicht kennzeichnungsfähig. Eine Firma, die mit einem +
beginnt, ist jedenfalls dann unzulässig, wenn die übrigen
Firmenbestandteile eine Allerweltsbezeichnung darstellen (OGH
6.6.2013, 6 Ob 30/13z).</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633122" w:name="note3"/>
            <w:bookmarkEnd w:id="15633122"/>
            <w:bookmarkStart w:id="3717226247233" w:name="note3"/>
            <w:r>
              <w:rPr>
                <w:rFonts w:ascii="Arial" w:hAnsi="Arial" w:eastAsia="Arial" w:cs="Arial"/>
                <w:b/>
                <w:bCs/>
                <w:color w:val="000000"/>
                <w:position w:val="0"/>
                <w:sz w:val="20"/>
                <w:szCs w:val="20"/>
              </w:rPr>
              <w:t xml:space="preserve">[3]</w:t>
            </w:r>
            <w:bookmarkEnd w:id="371722624723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Unterscheidungskraft:</w:t>
            </w:r>
            <w:r>
              <w:rPr>
                <w:rFonts w:ascii="Arial" w:hAnsi="Arial" w:eastAsia="Arial" w:cs="Arial"/>
                <w:color w:val="000000"/>
                <w:position w:val="0"/>
                <w:sz w:val="20"/>
                <w:szCs w:val="20"/>
              </w:rPr>
              <w:t xml:space="preserve"> Ein Firmenwortlaut ist
dann unterscheidungskräftig, wenn er, bei Lesern und Hörern die
Assoziation mit einem ganz bestimmten Unternehmen unter vielen
anderen zu wecken. Die Unterscheidungskraft ist abstrakt zu
beurteilen und beinhaltet ebenso die Individualisierungsfunktion
der Firma (vgl RS0122544). Sie muss allgemein geeignet sein, ihren
Inhaber (Unternehmensträger) von anderen Personen
(Unternehmensträgern) zu unterscheiden. Von der abstrakt zu
beurteilenden Unterscheidungskraft nach § 18 Abs 1 UGB
ist die Unterscheidbarkeit von anderen Firmen im Sinne der
Firmenausschließlichkeit des § 29 UGB zu trennen. Denn (nur)
Letztere stellt konkret auf die Verwechselbarkeit mit bereits am
selben Ort oder in derselben Gemeinde eingetragenen Firmen ab (vgl
OGH 6 Ob 242/08v).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Keine ausreichende Unterscheidungskraft besitzen
Gattungsbezeichnungen, insbesondere rein beschreibende Angaben, die
Art und Gegenstand des Unternehmens anzeigen, nicht aber ein
bestimmtes Unternehmen kennzeichnen. Bloße Branchenbezeichnungen,
wie zB „Transport“, „Bau“, „Sicherheit und Technik“, „Management“,
„Managementseminare“, „Managementkompetenz“, „Gaststätten“,
„Gebäudereinigung“, „Eisenhandel“ oder „Computertechnik“ besitzen
ohne Hinzufügung weiterer konkretisierender Zusätze keine
ausreichende Unterscheidungskraft. Je mehr sich die gewählte Firma
aber von einer rein beschreibenden Gattungsbezeichnung in Richtung
eines fantasievoll-eigentümlichen, möglicherweise zusammengesetzten
Begriffs bewegt, desto eher wird die Unterscheidungskraft zu
bejahen sein, wie etwa bei „Floratec“ oder „Meditec“ (vgl OGH 6 Ob
242/08v). Eine Firma, die mit dem Sonderzeichen + beginnt, ist
jedenfalls dann unzulässig, wenn die übrigen Firmenbestandteile
eine Allerweltsbezeichnung darstellen (vgl OGH 6 Ob 30/13z). Keine
ausreichende Unterscheidungskraft iSd § 18 Abs 1 UGB
besitzen Branchen- oder Gattungsbezeichnungen oder auch bloß
geschäftliche Bezeichnungen, insbesondere rein beschreibende
Angaben, die Art und Gegenstand des Unternehmens anzeigen, nicht
aber ein bestimmtes Unternehmen kennzeichnen. Darüber hinaus
spricht das Freihaltebedürfnis des Verkehrs dagegen, Branchen- oder
Gattungsbezeichnungen genügen zu lassen (vgl OGH 6 Ob 28/22v).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Name eines Gesellschafters hat grundsätzlich
Unterscheidungskraft. Bei sehr häufig vorkommenden Namen wie Maier
oder auch Jovanovic kann allerdings ohne Zusatz eines Vornamens
keine Unterscheidungskraft bestehen.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3330004" w:name="note4"/>
            <w:bookmarkEnd w:id="73330004"/>
            <w:bookmarkStart w:id="3623371638189" w:name="note4"/>
            <w:r>
              <w:rPr>
                <w:rFonts w:ascii="Arial" w:hAnsi="Arial" w:eastAsia="Arial" w:cs="Arial"/>
                <w:b/>
                <w:bCs/>
                <w:color w:val="000000"/>
                <w:position w:val="0"/>
                <w:sz w:val="20"/>
                <w:szCs w:val="20"/>
              </w:rPr>
              <w:t xml:space="preserve">[4]</w:t>
            </w:r>
            <w:bookmarkEnd w:id="362337163818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Irreführungsverbot:</w:t>
            </w:r>
            <w:r>
              <w:rPr>
                <w:rFonts w:ascii="Arial" w:hAnsi="Arial" w:eastAsia="Arial" w:cs="Arial"/>
                <w:color w:val="000000"/>
                <w:position w:val="0"/>
                <w:sz w:val="20"/>
                <w:szCs w:val="20"/>
              </w:rPr>
              <w:t xml:space="preserve"> Im UGB gilt der Grundsatz
der Firmenwahrheit. Daher darf die Firma keine Angaben enthalten,
die geeignet sind über geschäftliche Verhältnisse, die für die
angesprochenen Verkehrskreise wesentlich sind, irrezuführen. Dies
gilt sowohl für den Firmenkern als auch für Zusätze. So sind etwa
im Bereich der Unternehmensberatung Unternehmer die angesprochenen
Verkehrskreise, die in der Regel eine erhöhte Professionalität
haben und deshalb in einem geringeren Maß schutzbedürftig sind (vgl
OGH 6 Ob 67/10m).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Irreführungsverbot des § 18 Abs 2 UGB wird
verletzt, wenn bei einem nicht unbeträchtlichen Teil der durch die
Firma angesprochenen Verkehrskreise eine unrichtige Vorstellung
über das Unternehmen erweckt werden kann, die für die Art oder den
Umfang des Geschäfts oder für die Verhältnisse der Gesellschaft als
Geschäftsinhaberin von Einfluss sind; gleichgültig ist es, ob
Irreführungen tatsächlich vorkommen oder beabsichtigt sind
(RS0059807).</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Damit die Irreführung beanstandet werden kann, muss sie auch
wesentlich sein. Durch die Wesentlichkeitsschwelle ist
sichergestellt, dass nicht Angaben von geringer
wettbewerbsrechtlicher Relevanz oder solche, die für die
wirtschaftliche Entscheidung oder die angesprochenen Verkehrskreise
nur von untergeordneter Bedeutung sind, als irreführend eingestuft
werden (vgl OGH 6 Ob 242/08v, 6 Ob 67/10m).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Fantasiefirmen ist im gegebenen Zusammenhang zu prüfen, ob
die Fantasiebezeichnungen geeignet sind, beim Verkehr unzutreffende
Assoziationen hinsichtlich des Gegenstands des Unternehmens
auszulösen (RS0087525). Als unzulässig wurde etwa die Firma
„Sportex GmbH“ für ein Unternehmen, das sich weder mit
Sportartikeln noch mit Textilien befasst, oder die Firma
„computronic OHG“ für ein Bettenhaus erachtet (vgl OGH 6 Ob
242/08v). Ebenfalls irreführend wurde die Firma „Sun Services GmbH“
bei Vorliegen eines Unternehmensgegenstands der
Unternehmensberatung als irreführend befunden, weil sich das
Publikum darunter ein Unternehmen vorstellt, das Dienste im
Zusammenhang mit Solarien, Sonnenenergie, Sonnenschutz udgl
anbietet (vgl OGH 6 Ob 242/08v).</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Unterscheidbarkeit von Firmen innerhalb desselben Ortes oder
derselben Gemeinde als Frage der konkreten Irreführungseignung ist
hingegen nicht nach § 18 Abs 2 UGB, sondern nur nach
§ 29 UGB als lex specialis zu prüfen. Das verfahrensrechtliche
„Grobraster“ des § 18 Abs 2 zweiter Satz UGB im Sinne der
erörterten Wesentlichkeitsschwelle kommt dort nicht zum Tragen (vgl
OGH 6 Ob 128/21y).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3717597" w:name="note5"/>
            <w:bookmarkEnd w:id="43717597"/>
            <w:bookmarkStart w:id="4830051067744" w:name="note5"/>
            <w:r>
              <w:rPr>
                <w:rFonts w:ascii="Arial" w:hAnsi="Arial" w:eastAsia="Arial" w:cs="Arial"/>
                <w:b/>
                <w:bCs/>
                <w:color w:val="000000"/>
                <w:position w:val="0"/>
                <w:sz w:val="20"/>
                <w:szCs w:val="20"/>
              </w:rPr>
              <w:t xml:space="preserve">[5]</w:t>
            </w:r>
            <w:bookmarkEnd w:id="48300510677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Firmenausschließlichkeit:</w:t>
            </w:r>
            <w:r>
              <w:rPr>
                <w:rFonts w:ascii="Arial" w:hAnsi="Arial" w:eastAsia="Arial" w:cs="Arial"/>
                <w:color w:val="000000"/>
                <w:position w:val="0"/>
                <w:sz w:val="20"/>
                <w:szCs w:val="20"/>
              </w:rPr>
              <w:t xml:space="preserve"> Jede neue Firma muss
sich von allen an demselben Ort oder in derselben Gemeinde (bzw
Wirtschaftsraum) bereits bestehenden und in das Firmenbuch
eingetragenen Firmen deutlich unterscheiden.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 Bestimmung bezieht sich auch auf Firmenänderungen (vgl
§ 29 Abs 1 UGB; OGH 6 Ob 45/00m).</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 der Beurteilung, ob eine deutliche Unterscheidbarkeit zweier
Firmenbezeichnungen gegeben ist, kommt es nicht nur auf den
Wortsinn und das Wortbild, sondern auch auf den Wortklang an
(RS0061846). Für die Frage der Unterscheidbarkeit ist nicht der
vollständige Firmenwortlaut, sondern die im Geschäftsverkehr
verwendete Form oder der Firmenkern maßgeblich, regelmäßig also das
erste Wort der Firma, wenn dieses deren Charakteristikum bildet
(vgl OGH 6 Ob 102/16t; 6 Ob 139/11a). Bei Branchennähe
beziehungsweise gleichem Unternehmensgegenstand sind strengere
Anforderungen an die Unterscheidbarkeit zu stellen (RS0061820). In
diesem Fall darf der Firmenwortlaut auch nicht den unrichtigen
Anschein einer wirtschaftlichen oder rechtlichen
Zusammengehörigkeit oder Verflechtung mehrerer Unternehmen erwecken
(vgl OGH 6 Ob 102/16t).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Allerdings können Schlagworte, die am Anfang der Firma stehen
und das Charakteristikum oder den Firmenkern bilden, auch bei
ähnlichem Unternehmensgegenstand gleichlautend für mehrere
Unternehmen gebraucht werden, wenn es sich bei diesen um
Konzerngesellschaften handelt. Dabei wurde es bereits als
ausreichend erachtet, dass sowohl angesichts der
Gesellschafterverhältnisse als auch im Hinblick auf die Person des
oder der Geschäftsführer mit einflusskonformem Verhalten der
Geschäftsführung zu rechnen ist (vgl OGH 6 Ob 139/11a, sowie 6 Ob
128/21y).</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184406" w:name="note6"/>
            <w:bookmarkEnd w:id="65184406"/>
            <w:bookmarkStart w:id="7867577457703" w:name="note6"/>
            <w:r>
              <w:rPr>
                <w:rFonts w:ascii="Arial" w:hAnsi="Arial" w:eastAsia="Arial" w:cs="Arial"/>
                <w:b/>
                <w:bCs/>
                <w:color w:val="000000"/>
                <w:position w:val="0"/>
                <w:sz w:val="20"/>
                <w:szCs w:val="20"/>
              </w:rPr>
              <w:t xml:space="preserve">[6]</w:t>
            </w:r>
            <w:bookmarkEnd w:id="786757745770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000000"/>
                <w:position w:val="0"/>
                <w:sz w:val="20"/>
                <w:szCs w:val="20"/>
              </w:rPr>
              <w:t xml:space="preserve">Rechtsformzusatz:</w:t>
            </w:r>
            <w:r>
              <w:rPr>
                <w:rFonts w:ascii="Arial" w:hAnsi="Arial" w:eastAsia="Arial" w:cs="Arial"/>
                <w:color w:val="000000"/>
                <w:position w:val="0"/>
                <w:sz w:val="20"/>
                <w:szCs w:val="20"/>
              </w:rPr>
              <w:t xml:space="preserve"> Nach § 5 Abs 1
GmbH-Gesetz muss die Firma der Gesellschaft die Bezeichnung
„Gesellschaft mit beschränkter Haftung” enthalten; die Bezeichnung
kann abgekürzt werden. Welche Abkürzungen verwendet werden dürfen,
ist dem Gesetz nicht zu entnehmen. Zulässig sind jedenfalls die
Abkürzungen: GmbH, GmbH und Gesellschaft m.b.H. Die Eintragung
einer GmbH, deren Gründer als Rechtsform-Zusatz „GsmbH“ gewählt
hatten, wurde abgelehnt.</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530212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94343748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1123583">
    <w:multiLevelType w:val="hybridMultilevel"/>
    <w:lvl w:ilvl="0" w:tplc="89660512">
      <w:start w:val="1"/>
      <w:numFmt w:val="decimal"/>
      <w:lvlText w:val="%1."/>
      <w:lvlJc w:val="left"/>
      <w:pPr>
        <w:ind w:left="720" w:hanging="360"/>
      </w:pPr>
    </w:lvl>
    <w:lvl w:ilvl="1" w:tplc="89660512" w:tentative="1">
      <w:start w:val="1"/>
      <w:numFmt w:val="lowerLetter"/>
      <w:lvlText w:val="%2."/>
      <w:lvlJc w:val="left"/>
      <w:pPr>
        <w:ind w:left="1440" w:hanging="360"/>
      </w:pPr>
    </w:lvl>
    <w:lvl w:ilvl="2" w:tplc="89660512" w:tentative="1">
      <w:start w:val="1"/>
      <w:numFmt w:val="lowerRoman"/>
      <w:lvlText w:val="%3."/>
      <w:lvlJc w:val="right"/>
      <w:pPr>
        <w:ind w:left="2160" w:hanging="180"/>
      </w:pPr>
    </w:lvl>
    <w:lvl w:ilvl="3" w:tplc="89660512" w:tentative="1">
      <w:start w:val="1"/>
      <w:numFmt w:val="decimal"/>
      <w:lvlText w:val="%4."/>
      <w:lvlJc w:val="left"/>
      <w:pPr>
        <w:ind w:left="2880" w:hanging="360"/>
      </w:pPr>
    </w:lvl>
    <w:lvl w:ilvl="4" w:tplc="89660512" w:tentative="1">
      <w:start w:val="1"/>
      <w:numFmt w:val="lowerLetter"/>
      <w:lvlText w:val="%5."/>
      <w:lvlJc w:val="left"/>
      <w:pPr>
        <w:ind w:left="3600" w:hanging="360"/>
      </w:pPr>
    </w:lvl>
    <w:lvl w:ilvl="5" w:tplc="89660512" w:tentative="1">
      <w:start w:val="1"/>
      <w:numFmt w:val="lowerRoman"/>
      <w:lvlText w:val="%6."/>
      <w:lvlJc w:val="right"/>
      <w:pPr>
        <w:ind w:left="4320" w:hanging="180"/>
      </w:pPr>
    </w:lvl>
    <w:lvl w:ilvl="6" w:tplc="89660512" w:tentative="1">
      <w:start w:val="1"/>
      <w:numFmt w:val="decimal"/>
      <w:lvlText w:val="%7."/>
      <w:lvlJc w:val="left"/>
      <w:pPr>
        <w:ind w:left="5040" w:hanging="360"/>
      </w:pPr>
    </w:lvl>
    <w:lvl w:ilvl="7" w:tplc="89660512" w:tentative="1">
      <w:start w:val="1"/>
      <w:numFmt w:val="lowerLetter"/>
      <w:lvlText w:val="%8."/>
      <w:lvlJc w:val="left"/>
      <w:pPr>
        <w:ind w:left="5760" w:hanging="360"/>
      </w:pPr>
    </w:lvl>
    <w:lvl w:ilvl="8" w:tplc="89660512" w:tentative="1">
      <w:start w:val="1"/>
      <w:numFmt w:val="lowerRoman"/>
      <w:lvlText w:val="%9."/>
      <w:lvlJc w:val="right"/>
      <w:pPr>
        <w:ind w:left="6480" w:hanging="180"/>
      </w:pPr>
    </w:lvl>
  </w:abstractNum>
  <w:abstractNum w:abstractNumId="41123582">
    <w:multiLevelType w:val="hybridMultilevel"/>
    <w:lvl w:ilvl="0" w:tplc="90259983">
      <w:start w:val="1"/>
      <w:numFmt w:val="decimal"/>
      <w:lvlText w:val="%1."/>
      <w:lvlJc w:val="left"/>
      <w:pPr>
        <w:ind w:left="720" w:hanging="360"/>
      </w:pPr>
    </w:lvl>
    <w:lvl w:ilvl="1" w:tplc="90259983" w:tentative="1">
      <w:start w:val="1"/>
      <w:numFmt w:val="lowerLetter"/>
      <w:lvlText w:val="%2."/>
      <w:lvlJc w:val="left"/>
      <w:pPr>
        <w:ind w:left="1440" w:hanging="360"/>
      </w:pPr>
    </w:lvl>
    <w:lvl w:ilvl="2" w:tplc="90259983" w:tentative="1">
      <w:start w:val="1"/>
      <w:numFmt w:val="lowerRoman"/>
      <w:lvlText w:val="%3."/>
      <w:lvlJc w:val="right"/>
      <w:pPr>
        <w:ind w:left="2160" w:hanging="180"/>
      </w:pPr>
    </w:lvl>
    <w:lvl w:ilvl="3" w:tplc="90259983" w:tentative="1">
      <w:start w:val="1"/>
      <w:numFmt w:val="decimal"/>
      <w:lvlText w:val="%4."/>
      <w:lvlJc w:val="left"/>
      <w:pPr>
        <w:ind w:left="2880" w:hanging="360"/>
      </w:pPr>
    </w:lvl>
    <w:lvl w:ilvl="4" w:tplc="90259983" w:tentative="1">
      <w:start w:val="1"/>
      <w:numFmt w:val="lowerLetter"/>
      <w:lvlText w:val="%5."/>
      <w:lvlJc w:val="left"/>
      <w:pPr>
        <w:ind w:left="3600" w:hanging="360"/>
      </w:pPr>
    </w:lvl>
    <w:lvl w:ilvl="5" w:tplc="90259983" w:tentative="1">
      <w:start w:val="1"/>
      <w:numFmt w:val="lowerRoman"/>
      <w:lvlText w:val="%6."/>
      <w:lvlJc w:val="right"/>
      <w:pPr>
        <w:ind w:left="4320" w:hanging="180"/>
      </w:pPr>
    </w:lvl>
    <w:lvl w:ilvl="6" w:tplc="90259983" w:tentative="1">
      <w:start w:val="1"/>
      <w:numFmt w:val="decimal"/>
      <w:lvlText w:val="%7."/>
      <w:lvlJc w:val="left"/>
      <w:pPr>
        <w:ind w:left="5040" w:hanging="360"/>
      </w:pPr>
    </w:lvl>
    <w:lvl w:ilvl="7" w:tplc="90259983" w:tentative="1">
      <w:start w:val="1"/>
      <w:numFmt w:val="lowerLetter"/>
      <w:lvlText w:val="%8."/>
      <w:lvlJc w:val="left"/>
      <w:pPr>
        <w:ind w:left="5760" w:hanging="360"/>
      </w:pPr>
    </w:lvl>
    <w:lvl w:ilvl="8" w:tplc="90259983" w:tentative="1">
      <w:start w:val="1"/>
      <w:numFmt w:val="lowerRoman"/>
      <w:lvlText w:val="%9."/>
      <w:lvlJc w:val="right"/>
      <w:pPr>
        <w:ind w:left="6480" w:hanging="180"/>
      </w:pPr>
    </w:lvl>
  </w:abstractNum>
  <w:abstractNum w:abstractNumId="2040667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1123581">
    <w:multiLevelType w:val="hybridMultilevel"/>
    <w:lvl w:ilvl="0" w:tplc="63537639">
      <w:start w:val="1"/>
      <w:numFmt w:val="decimal"/>
      <w:lvlText w:val="%1."/>
      <w:lvlJc w:val="left"/>
      <w:pPr>
        <w:ind w:left="720" w:hanging="360"/>
      </w:pPr>
    </w:lvl>
    <w:lvl w:ilvl="1" w:tplc="63537639" w:tentative="1">
      <w:start w:val="1"/>
      <w:numFmt w:val="lowerLetter"/>
      <w:lvlText w:val="%2."/>
      <w:lvlJc w:val="left"/>
      <w:pPr>
        <w:ind w:left="1440" w:hanging="360"/>
      </w:pPr>
    </w:lvl>
    <w:lvl w:ilvl="2" w:tplc="63537639" w:tentative="1">
      <w:start w:val="1"/>
      <w:numFmt w:val="lowerRoman"/>
      <w:lvlText w:val="%3."/>
      <w:lvlJc w:val="right"/>
      <w:pPr>
        <w:ind w:left="2160" w:hanging="180"/>
      </w:pPr>
    </w:lvl>
    <w:lvl w:ilvl="3" w:tplc="63537639" w:tentative="1">
      <w:start w:val="1"/>
      <w:numFmt w:val="decimal"/>
      <w:lvlText w:val="%4."/>
      <w:lvlJc w:val="left"/>
      <w:pPr>
        <w:ind w:left="2880" w:hanging="360"/>
      </w:pPr>
    </w:lvl>
    <w:lvl w:ilvl="4" w:tplc="63537639" w:tentative="1">
      <w:start w:val="1"/>
      <w:numFmt w:val="lowerLetter"/>
      <w:lvlText w:val="%5."/>
      <w:lvlJc w:val="left"/>
      <w:pPr>
        <w:ind w:left="3600" w:hanging="360"/>
      </w:pPr>
    </w:lvl>
    <w:lvl w:ilvl="5" w:tplc="63537639" w:tentative="1">
      <w:start w:val="1"/>
      <w:numFmt w:val="lowerRoman"/>
      <w:lvlText w:val="%6."/>
      <w:lvlJc w:val="right"/>
      <w:pPr>
        <w:ind w:left="4320" w:hanging="180"/>
      </w:pPr>
    </w:lvl>
    <w:lvl w:ilvl="6" w:tplc="63537639" w:tentative="1">
      <w:start w:val="1"/>
      <w:numFmt w:val="decimal"/>
      <w:lvlText w:val="%7."/>
      <w:lvlJc w:val="left"/>
      <w:pPr>
        <w:ind w:left="5040" w:hanging="360"/>
      </w:pPr>
    </w:lvl>
    <w:lvl w:ilvl="7" w:tplc="63537639" w:tentative="1">
      <w:start w:val="1"/>
      <w:numFmt w:val="lowerLetter"/>
      <w:lvlText w:val="%8."/>
      <w:lvlJc w:val="left"/>
      <w:pPr>
        <w:ind w:left="5760" w:hanging="360"/>
      </w:pPr>
    </w:lvl>
    <w:lvl w:ilvl="8" w:tplc="63537639" w:tentative="1">
      <w:start w:val="1"/>
      <w:numFmt w:val="lowerRoman"/>
      <w:lvlText w:val="%9."/>
      <w:lvlJc w:val="right"/>
      <w:pPr>
        <w:ind w:left="6480" w:hanging="180"/>
      </w:pPr>
    </w:lvl>
  </w:abstractNum>
  <w:abstractNum w:abstractNumId="41123580">
    <w:multiLevelType w:val="hybridMultilevel"/>
    <w:lvl w:ilvl="0" w:tplc="93263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23580">
    <w:abstractNumId w:val="41123580"/>
  </w:num>
  <w:num w:numId="41123581">
    <w:abstractNumId w:val="41123581"/>
  </w:num>
  <w:num w:numId="20406671">
    <w:abstractNumId w:val="20406671"/>
  </w:num>
  <w:num w:numId="41123582">
    <w:abstractNumId w:val="41123582"/>
  </w:num>
  <w:num w:numId="41123583">
    <w:abstractNumId w:val="41123583"/>
  </w:num>
  <w:num w:numId="943437481">
    <w:abstractNumId w:val="943437481"/>
  </w:num>
  <w:num w:numId="975302123">
    <w:abstractNumId w:val="975302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31943813" Type="http://schemas.openxmlformats.org/officeDocument/2006/relationships/numbering" Target="numbering.xml"/><Relationship Id="rId7950399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