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6200715" w:name="document"/>
    <w:bookmarkEnd w:id="36200715"/>
    <w:p/>
    <w:p>
      <w:pPr>
        <w:widowControl w:val="on"/>
        <w:pBdr/>
        <w:spacing w:before="0" w:after="280" w:line="240" w:lineRule="auto"/>
        <w:ind w:left="0" w:right="0"/>
        <w:jc w:val="left"/>
      </w:pPr>
      <w:r>
        <w:rPr>
          <w:rFonts w:ascii="Arial" w:hAnsi="Arial" w:eastAsia="Arial" w:cs="Arial"/>
          <w:color w:val="363A40"/>
          <w:sz w:val="24"/>
          <w:szCs w:val="24"/>
        </w:rPr>
        <w:t xml:space="preserve">Dokument-ID: 1090940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Optionsvertrag auf Abtretung eines Geschäftsanteiles</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1. Rechtsverhältnisse</w:t>
      </w:r>
    </w:p>
    <w:p>
      <w:pPr>
        <w:widowControl w:val="on"/>
        <w:pBdr/>
        <w:spacing w:before="140" w:after="240" w:line="288" w:lineRule="auto"/>
        <w:ind w:left="0" w:right="0"/>
        <w:jc w:val="left"/>
      </w:pPr>
      <w:r>
        <w:rPr>
          <w:rFonts w:ascii="Arial" w:hAnsi="Arial" w:eastAsia="Arial" w:cs="Arial"/>
          <w:color w:val="000000"/>
          <w:sz w:val="20"/>
          <w:szCs w:val="20"/>
        </w:rPr>
        <w:t xml:space="preserve">Im Firmenbuch des Handelsgerichtes Wien ist zu FN 11111a die ABC
Handelsgesellschaft m.b.H. mit dem Sitz in Wien und der
Geschäftsanschrift 1010 Wien, Musterstraße 1 eingetragen. Das zur
Gänze einbezahlte Stammkapital der Gesellschaft beträgt
EUR 35.000,– (fünfunddreißigtausend Euro).</w:t>
      </w:r>
    </w:p>
    <w:p>
      <w:pPr>
        <w:widowControl w:val="on"/>
        <w:pBdr/>
        <w:spacing w:before="140" w:after="240" w:line="288" w:lineRule="auto"/>
        <w:ind w:left="0" w:right="0"/>
        <w:jc w:val="left"/>
      </w:pPr>
      <w:r>
        <w:rPr>
          <w:rFonts w:ascii="Arial" w:hAnsi="Arial" w:eastAsia="Arial" w:cs="Arial"/>
          <w:color w:val="000000"/>
          <w:sz w:val="20"/>
          <w:szCs w:val="20"/>
        </w:rPr>
        <w:t xml:space="preserve">Martin Muster, geboren am …, 1020 Wien, Musterstraße 2, ist
Gesellschafter der genannten Gesellschaft mit einem
Geschäftsanteil, der einer voll und bar eingezahlten Stammeinlage
von EUR 20.000,– (zwanzigtausend Euro) entspricht.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Optionseinräumung</w:t>
      </w:r>
    </w:p>
    <w:p>
      <w:pPr>
        <w:widowControl w:val="on"/>
        <w:pBdr/>
        <w:spacing w:before="140" w:after="240" w:line="288" w:lineRule="auto"/>
        <w:ind w:left="0" w:right="0"/>
        <w:jc w:val="left"/>
      </w:pPr>
      <w:r>
        <w:rPr>
          <w:rFonts w:ascii="Arial" w:hAnsi="Arial" w:eastAsia="Arial" w:cs="Arial"/>
          <w:color w:val="000000"/>
          <w:sz w:val="20"/>
          <w:szCs w:val="20"/>
        </w:rPr>
        <w:t xml:space="preserve">Martin Muster räumt hiermit für sich und seinen Rechtsnachfolger
Berthold Beispiel, geboren am …, 1030 Wien, Beispielstraße 3, das
unübertragbare Recht ein, von ihm die Abtretung dieses in Punkt
Erstens beschriebenen Geschäftsanteiles an der ABC
Handelsgesellschaft m.b.H. innerhalb einer Frist von 2 (zwei)
Monaten zu verlangen, sobald die Generalversammlung dieser
Gesellschaft den Jahresabschluss des Jahres … (…) geprüft und
genehmigt haben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Abtretungsentgelt</w:t>
      </w:r>
    </w:p>
    <w:p>
      <w:pPr>
        <w:widowControl w:val="on"/>
        <w:pBdr/>
        <w:spacing w:before="140" w:after="240" w:line="288" w:lineRule="auto"/>
        <w:ind w:left="0" w:right="0"/>
        <w:jc w:val="left"/>
      </w:pPr>
      <w:r>
        <w:rPr>
          <w:rFonts w:ascii="Arial" w:hAnsi="Arial" w:eastAsia="Arial" w:cs="Arial"/>
          <w:color w:val="000000"/>
          <w:sz w:val="20"/>
          <w:szCs w:val="20"/>
        </w:rPr>
        <w:t xml:space="preserve">Als Abtretungspreis wird der Betrag von EUR 50.000,–
(fünfzigtausend Euro) vereinbart. Dieser Abtretungspreis ist
innerhalb von 14 (vierzehn) Tagen nach Errichtung des notariellen
Abtretungsvertrages an Martin Muster auf ein von ihm namhaft zu
machendes Konto bei einem inländischen Kreditinstitut zu
bezahlen.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Abtretung, Gewinnanteile</w:t>
      </w:r>
    </w:p>
    <w:p>
      <w:pPr>
        <w:widowControl w:val="on"/>
        <w:pBdr/>
        <w:spacing w:before="140" w:after="240" w:line="288" w:lineRule="auto"/>
        <w:ind w:left="0" w:right="0"/>
        <w:jc w:val="left"/>
      </w:pPr>
      <w:r>
        <w:rPr>
          <w:rFonts w:ascii="Arial" w:hAnsi="Arial" w:eastAsia="Arial" w:cs="Arial"/>
          <w:color w:val="000000"/>
          <w:sz w:val="20"/>
          <w:szCs w:val="20"/>
        </w:rPr>
        <w:t xml:space="preserve">Die Abtretung hat mit allen aus dem vertragsgegenständlichen
Geschäftsanteil resultierenden Rechten und Pflichten gegenüber
Gesellschaft und Mitgesellschaftern zu erfolgen.</w:t>
      </w:r>
    </w:p>
    <w:p>
      <w:pPr>
        <w:widowControl w:val="on"/>
        <w:pBdr/>
        <w:spacing w:before="140" w:after="240" w:line="288" w:lineRule="auto"/>
        <w:ind w:left="0" w:right="0"/>
        <w:jc w:val="left"/>
      </w:pPr>
      <w:r>
        <w:rPr>
          <w:rFonts w:ascii="Arial" w:hAnsi="Arial" w:eastAsia="Arial" w:cs="Arial"/>
          <w:color w:val="000000"/>
          <w:sz w:val="20"/>
          <w:szCs w:val="20"/>
        </w:rPr>
        <w:t xml:space="preserve">Die Gewinnanteile des abzutretenden Geschäftsanteiles aus dem
Bilanzgewinn des Geschäftsjahres 2020 (zweitausendzwanzig)
verbleiben noch dem abtretenden Gesellschafter. Dagegen kommen die
Gewinnanteile aus dem Geschäftsjahr … (…) bereits dem Übernehmer
des Geschäftsanteiles zu.</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Zustimmung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gem § 5 (Paragraf fünf) des Gesellschaftsvertrages für
diese Abtretung erforderliche Zustimmung der Gesellschaft wird der
abtretende Gesellschafter rechtzeitig vor Errichtung des
notariellen Abtretungsvertrages einholen.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Verfügungsverbot</w:t>
      </w:r>
    </w:p>
    <w:p>
      <w:pPr>
        <w:widowControl w:val="on"/>
        <w:pBdr/>
        <w:spacing w:before="140" w:after="240" w:line="288" w:lineRule="auto"/>
        <w:ind w:left="0" w:right="0"/>
        <w:jc w:val="left"/>
      </w:pPr>
      <w:r>
        <w:rPr>
          <w:rFonts w:ascii="Arial" w:hAnsi="Arial" w:eastAsia="Arial" w:cs="Arial"/>
          <w:color w:val="000000"/>
          <w:sz w:val="20"/>
          <w:szCs w:val="20"/>
        </w:rPr>
        <w:t xml:space="preserve">Innerhalb der Optionsfrist hat sich Martin Muster jeder
Verfügung über den Geschäftsanteil, sei es durch Abtretung oder
durch Verpfändung, zu enthalten.</w:t>
      </w:r>
    </w:p>
    <w:p>
      <w:pPr>
        <w:widowControl w:val="on"/>
        <w:pBdr/>
        <w:spacing w:before="140" w:after="240" w:line="288" w:lineRule="auto"/>
        <w:ind w:left="0" w:right="0"/>
        <w:jc w:val="left"/>
      </w:pPr>
      <w:r>
        <w:rPr>
          <w:rFonts w:ascii="Arial" w:hAnsi="Arial" w:eastAsia="Arial" w:cs="Arial"/>
          <w:color w:val="000000"/>
          <w:sz w:val="20"/>
          <w:szCs w:val="20"/>
        </w:rPr>
        <w:t xml:space="preserve">Falls der notarielle Abtretungsvertrag nicht innerhalb der
vereinbarten Frist aus Gründen, die der Übernehmer zu verantworten
hat, abgeschlossen wird, ist Martin Muster berechtigt, über den
Anteil ohne Rücksicht auf den Übernehmer frei zu verfügen.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Kosten</w:t>
      </w:r>
    </w:p>
    <w:p>
      <w:pPr>
        <w:widowControl w:val="on"/>
        <w:pBdr/>
        <w:spacing w:before="140" w:after="240" w:line="288" w:lineRule="auto"/>
        <w:ind w:left="0" w:right="0"/>
        <w:jc w:val="left"/>
      </w:pPr>
      <w:r>
        <w:rPr>
          <w:rFonts w:ascii="Arial" w:hAnsi="Arial" w:eastAsia="Arial" w:cs="Arial"/>
          <w:color w:val="000000"/>
          <w:sz w:val="20"/>
          <w:szCs w:val="20"/>
        </w:rPr>
        <w:t xml:space="preserve">Alle Kosten der Errichtung und Vergebührung dieses
Optionsvertrages sowie des aufgrund dieses Vertrages zu
errichtenden Abtretungsvertrages trägt der Übernehmer.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Optionsannahme</w:t>
      </w:r>
    </w:p>
    <w:p>
      <w:pPr>
        <w:widowControl w:val="on"/>
        <w:pBdr/>
        <w:spacing w:before="140" w:after="240" w:line="288" w:lineRule="auto"/>
        <w:ind w:left="0" w:right="0"/>
        <w:jc w:val="left"/>
      </w:pPr>
      <w:r>
        <w:rPr>
          <w:rFonts w:ascii="Arial" w:hAnsi="Arial" w:eastAsia="Arial" w:cs="Arial"/>
          <w:color w:val="000000"/>
          <w:sz w:val="20"/>
          <w:szCs w:val="20"/>
        </w:rPr>
        <w:t xml:space="preserve">Berthold Beispiel nimmt dieses von Martin Muster eingeräumte
Recht, die Abtretung des Geschäftsanteiles zu verlangen, unter
Anerkenntnis aller ihm in diesem Vertrag auferlegten
Verpflichtungen hiermit an.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Ausfertigungen</w:t>
      </w:r>
    </w:p>
    <w:p>
      <w:pPr>
        <w:widowControl w:val="on"/>
        <w:pBdr/>
        <w:spacing w:before="140" w:after="240" w:line="288" w:lineRule="auto"/>
        <w:ind w:left="0" w:right="0"/>
        <w:jc w:val="left"/>
      </w:pPr>
      <w:r>
        <w:rPr>
          <w:rFonts w:ascii="Arial" w:hAnsi="Arial" w:eastAsia="Arial" w:cs="Arial"/>
          <w:color w:val="000000"/>
          <w:sz w:val="20"/>
          <w:szCs w:val="20"/>
        </w:rPr>
        <w:t xml:space="preserve">Ausfertigungen dieses Notariatsaktes dürfen jeder der beiden
Vertragsparteien auch auf einseitiges Verlangen in beliebiger
Anzahl erteilt werden.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8176985" w:name="note1"/>
            <w:bookmarkEnd w:id="38176985"/>
            <w:bookmarkStart w:id="5472642225981" w:name="note1"/>
            <w:r>
              <w:rPr>
                <w:rFonts w:ascii="Arial" w:hAnsi="Arial" w:eastAsia="Arial" w:cs="Arial"/>
                <w:b/>
                <w:bCs/>
                <w:color w:val="000000"/>
                <w:position w:val="0"/>
                <w:sz w:val="20"/>
                <w:szCs w:val="20"/>
              </w:rPr>
              <w:t xml:space="preserve">[1]</w:t>
            </w:r>
            <w:bookmarkEnd w:id="547264222598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Notariatsaktspflichtig, wobei diese Form auch für eine
einseitige Erklärung gelten würde.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3294010" w:name="note2"/>
            <w:bookmarkEnd w:id="43294010"/>
            <w:bookmarkStart w:id="3856618891775" w:name="note2"/>
            <w:r>
              <w:rPr>
                <w:rFonts w:ascii="Arial" w:hAnsi="Arial" w:eastAsia="Arial" w:cs="Arial"/>
                <w:b/>
                <w:bCs/>
                <w:color w:val="000000"/>
                <w:position w:val="0"/>
                <w:sz w:val="20"/>
                <w:szCs w:val="20"/>
              </w:rPr>
              <w:t xml:space="preserve">[2]</w:t>
            </w:r>
            <w:bookmarkEnd w:id="385661889177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Geschäftsanteile sind grundsätzlich übertragbar und
vererblich (§ 76 Abs 1 GmbHG). Teile eines
Geschäftsanteils kann ein Gesellschafter durch Rechtsgeschäft unter
Lebenden nur übertragen, wenn der Gesellschaftsvertrag dies
ausdrücklich für zulässig erklärt (§ 79 Abs 1 GmbHG).
Dabei kann die Zustimmung der Gesellschaft zur Abtretung von Teilen
überhaupt oder doch zur Abtretung an Personen, die der Gesellschaft
nicht schon als Gesellschafter angehören, vorbehalten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Abschluss eines Vorvertrags, der den künftigen Abschluss
eines GmbH-Gesellschaftsvertrags zum Gegenstand hat oder die
Vereinbarung über die künftige Abtretung von Gesellschaftsanteilen
einer GmbH bedarf, der Notariatsaktsform. Von der Formpflicht sind
sowohl Verpflichtungsgeschäft als auch Verfügungsgeschäft erfasst
(vgl OGH 8 Ob 259/02z; 6 Ob 180/17i; 6 Ob 59/20z). Formfreie
Einigungen über die Abtretung eines Geschäftsanteils sind unwirksam
(vgl OGH 6 Ob 121/05w; 6 Ob 180/17i; 6 Ob 59/20z). Wenn Anbot und
Annahme in zwei Urkunden getrennt sind, dann bedürfen beide der
Notariatsaktsform (OGH 4 Ob 517/80; 6 Ob 180/17i; 6 Ob
240/20t).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858808" w:name="note3"/>
            <w:bookmarkEnd w:id="82858808"/>
            <w:bookmarkStart w:id="4859179053681" w:name="note3"/>
            <w:r>
              <w:rPr>
                <w:rFonts w:ascii="Arial" w:hAnsi="Arial" w:eastAsia="Arial" w:cs="Arial"/>
                <w:b/>
                <w:bCs/>
                <w:color w:val="000000"/>
                <w:position w:val="0"/>
                <w:sz w:val="20"/>
                <w:szCs w:val="20"/>
              </w:rPr>
              <w:t xml:space="preserve">[3]</w:t>
            </w:r>
            <w:bookmarkEnd w:id="485917905368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Mehrere Berechtigte:</w:t>
            </w:r>
            <w:r>
              <w:rPr>
                <w:rFonts w:ascii="Arial" w:hAnsi="Arial" w:eastAsia="Arial" w:cs="Arial"/>
                <w:color w:val="000000"/>
                <w:position w:val="0"/>
                <w:sz w:val="20"/>
                <w:szCs w:val="20"/>
              </w:rPr>
              <w:t xml:space="preserve"> An einem ungeteilten
Geschäftsanteil können mehrere Personen mitberechtigt sein. Ihre
Rechte daraus können sie nur gemeinschaftlich ausüben (§ 80
Abs 1 erster Satz). Es handelt sich daher um eine dem
Gesamthandeigentum angenäherte Rechtsgemeinschaft. Sie ist von der
Unterbeteiligung zu trennen. Für die Begründung und Übertragung der
Mitberechtigung ist der Abschluss eines Vertrages in
Notariatsaktsform erforderlich.</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6769933" w:name="note4"/>
            <w:bookmarkEnd w:id="76769933"/>
            <w:bookmarkStart w:id="5229231670437" w:name="note4"/>
            <w:r>
              <w:rPr>
                <w:rFonts w:ascii="Arial" w:hAnsi="Arial" w:eastAsia="Arial" w:cs="Arial"/>
                <w:b/>
                <w:bCs/>
                <w:color w:val="000000"/>
                <w:position w:val="0"/>
                <w:sz w:val="20"/>
                <w:szCs w:val="20"/>
              </w:rPr>
              <w:t xml:space="preserve">[4]</w:t>
            </w:r>
            <w:bookmarkEnd w:id="522923167043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Einschränkung der Übertragbarkeit:</w:t>
            </w:r>
            <w:r>
              <w:rPr>
                <w:rFonts w:ascii="Arial" w:hAnsi="Arial" w:eastAsia="Arial" w:cs="Arial"/>
                <w:color w:val="000000"/>
                <w:position w:val="0"/>
                <w:sz w:val="20"/>
                <w:szCs w:val="20"/>
              </w:rPr>
              <w:t xml:space="preserve"> Die freie
Übertragungsmöglichkeit der Geschäftsanteile kann durch
gesellschaftsvertragliche Bestimmungen eingeschränkt werden. In
Betracht kommt dabei vor allem die Anordnung eines
Zustimmungsrechtes zur beabsichtigten Übertragung durch die übrigen
Gesellschafter oder durch die GmbH selbst (§ 76 Abs 2
dritter Satz), aber auch die Begründung von Aufgriffs- bzw
Vorkaufsrechten zugunsten bestimmter Personen.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Übertragung von Geschäftsanteilen, mit denen ein
Entsendungsrecht von Mitgliedern in den Aufsichtsrat verbunden ist,
ist an die Zustimmung der Gesellschaft zu binden (§ 30c
Abs 2 GmbHG).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6667151" w:name="note5"/>
            <w:bookmarkEnd w:id="16667151"/>
            <w:bookmarkStart w:id="2221929625570" w:name="note5"/>
            <w:r>
              <w:rPr>
                <w:rFonts w:ascii="Arial" w:hAnsi="Arial" w:eastAsia="Arial" w:cs="Arial"/>
                <w:b/>
                <w:bCs/>
                <w:color w:val="000000"/>
                <w:position w:val="0"/>
                <w:sz w:val="20"/>
                <w:szCs w:val="20"/>
              </w:rPr>
              <w:t xml:space="preserve">[5]</w:t>
            </w:r>
            <w:bookmarkEnd w:id="222192962557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Eigene Anteile:</w:t>
            </w:r>
            <w:r>
              <w:rPr>
                <w:rFonts w:ascii="Arial" w:hAnsi="Arial" w:eastAsia="Arial" w:cs="Arial"/>
                <w:color w:val="000000"/>
                <w:position w:val="0"/>
                <w:sz w:val="20"/>
                <w:szCs w:val="20"/>
              </w:rPr>
              <w:t xml:space="preserve"> Der Erwerb und die Pfandnahme
eigener Geschäftsanteile durch die GmbH sind grundsätzlich verboten
und wirkungslos. Zulässig ist der Erwerb im Exekutionsweg zur
Hereinbringung eigener Forderungen der Gesellschaft. Auf den
unentgeltlichen Erwerb eigener Anteile, auf den Erwerb eigener
Anteile im Weg der Gesamtrechtsnachfolge und auf den Erwerb eigener
Anteile zur Entschädigung von Minderheitsgesellschaftern sind die
entsprechenden, für den Erwerb eigener Aktien geltenden
Vorschriften sinngemäß anzuwenden (§ 81 GmbHG).</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Einlagenrückgewähr:</w:t>
            </w:r>
            <w:r>
              <w:rPr>
                <w:rFonts w:ascii="Arial" w:hAnsi="Arial" w:eastAsia="Arial" w:cs="Arial"/>
                <w:color w:val="000000"/>
                <w:position w:val="0"/>
                <w:sz w:val="20"/>
                <w:szCs w:val="20"/>
              </w:rPr>
              <w:t xml:space="preserve"> Ein gegen das Verbot der
Einlagenrückgewähr verstoßender Abtretungsvertrag ist unwirksam.
Eine Übertragung (die in der Praxis meist als Abtretung bezeichnet
wird) kann sowohl entgeltlich als auch unentgeltlich erfolgen.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2797870" w:name="note6"/>
            <w:bookmarkEnd w:id="12797870"/>
            <w:bookmarkStart w:id="5355141136352" w:name="note6"/>
            <w:r>
              <w:rPr>
                <w:rFonts w:ascii="Arial" w:hAnsi="Arial" w:eastAsia="Arial" w:cs="Arial"/>
                <w:b/>
                <w:bCs/>
                <w:color w:val="000000"/>
                <w:position w:val="0"/>
                <w:sz w:val="20"/>
                <w:szCs w:val="20"/>
              </w:rPr>
              <w:t xml:space="preserve">[6]</w:t>
            </w:r>
            <w:bookmarkEnd w:id="535514113635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Begründung einer Verpflichtung zur zukünftigen
Anteilsübertragung in Form von Optionsrechten oder
Abtretungsanboten ist zulässig, jedoch ebenso vom Formgebot des
§ 76 Abs 2 GmbHG erfasst. Ob der Geschäftsanteil bereits
existiert und/oder bereits im Eigentum des Verpflichteten steht,
ist irrelevant. Der Ausdruck „Gesellschafter“ in § 76 GmbHG
ist nicht im formellen, sondern im materiellen Sinn als
„Berechtigter“ zu verstehen. Ein Optionsrecht oder Abtretungsanbot
kann daher rechtswirksam auch hinsichtlich der Übertragung eines
erst künftig entstehenden oder zu erwerbenden Geschäftsanteils
vereinbart werden (vgl OLG Innsbruck 3 R 44/23d).</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83394">
    <w:multiLevelType w:val="hybridMultilevel"/>
    <w:lvl w:ilvl="0" w:tplc="70018696">
      <w:start w:val="1"/>
      <w:numFmt w:val="decimal"/>
      <w:lvlText w:val="%1."/>
      <w:lvlJc w:val="left"/>
      <w:pPr>
        <w:ind w:left="720" w:hanging="360"/>
      </w:pPr>
    </w:lvl>
    <w:lvl w:ilvl="1" w:tplc="70018696" w:tentative="1">
      <w:start w:val="1"/>
      <w:numFmt w:val="lowerLetter"/>
      <w:lvlText w:val="%2."/>
      <w:lvlJc w:val="left"/>
      <w:pPr>
        <w:ind w:left="1440" w:hanging="360"/>
      </w:pPr>
    </w:lvl>
    <w:lvl w:ilvl="2" w:tplc="70018696" w:tentative="1">
      <w:start w:val="1"/>
      <w:numFmt w:val="lowerRoman"/>
      <w:lvlText w:val="%3."/>
      <w:lvlJc w:val="right"/>
      <w:pPr>
        <w:ind w:left="2160" w:hanging="180"/>
      </w:pPr>
    </w:lvl>
    <w:lvl w:ilvl="3" w:tplc="70018696" w:tentative="1">
      <w:start w:val="1"/>
      <w:numFmt w:val="decimal"/>
      <w:lvlText w:val="%4."/>
      <w:lvlJc w:val="left"/>
      <w:pPr>
        <w:ind w:left="2880" w:hanging="360"/>
      </w:pPr>
    </w:lvl>
    <w:lvl w:ilvl="4" w:tplc="70018696" w:tentative="1">
      <w:start w:val="1"/>
      <w:numFmt w:val="lowerLetter"/>
      <w:lvlText w:val="%5."/>
      <w:lvlJc w:val="left"/>
      <w:pPr>
        <w:ind w:left="3600" w:hanging="360"/>
      </w:pPr>
    </w:lvl>
    <w:lvl w:ilvl="5" w:tplc="70018696" w:tentative="1">
      <w:start w:val="1"/>
      <w:numFmt w:val="lowerRoman"/>
      <w:lvlText w:val="%6."/>
      <w:lvlJc w:val="right"/>
      <w:pPr>
        <w:ind w:left="4320" w:hanging="180"/>
      </w:pPr>
    </w:lvl>
    <w:lvl w:ilvl="6" w:tplc="70018696" w:tentative="1">
      <w:start w:val="1"/>
      <w:numFmt w:val="decimal"/>
      <w:lvlText w:val="%7."/>
      <w:lvlJc w:val="left"/>
      <w:pPr>
        <w:ind w:left="5040" w:hanging="360"/>
      </w:pPr>
    </w:lvl>
    <w:lvl w:ilvl="7" w:tplc="70018696" w:tentative="1">
      <w:start w:val="1"/>
      <w:numFmt w:val="lowerLetter"/>
      <w:lvlText w:val="%8."/>
      <w:lvlJc w:val="left"/>
      <w:pPr>
        <w:ind w:left="5760" w:hanging="360"/>
      </w:pPr>
    </w:lvl>
    <w:lvl w:ilvl="8" w:tplc="70018696" w:tentative="1">
      <w:start w:val="1"/>
      <w:numFmt w:val="lowerRoman"/>
      <w:lvlText w:val="%9."/>
      <w:lvlJc w:val="right"/>
      <w:pPr>
        <w:ind w:left="6480" w:hanging="180"/>
      </w:pPr>
    </w:lvl>
  </w:abstractNum>
  <w:abstractNum w:abstractNumId="48283393">
    <w:multiLevelType w:val="hybridMultilevel"/>
    <w:lvl w:ilvl="0" w:tplc="56922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83393">
    <w:abstractNumId w:val="48283393"/>
  </w:num>
  <w:num w:numId="48283394">
    <w:abstractNumId w:val="482833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49355795" Type="http://schemas.openxmlformats.org/officeDocument/2006/relationships/numbering" Target="numbering.xml"/><Relationship Id="rId41878108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