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0443742" w:name="document"/>
    <w:bookmarkEnd w:id="60443742"/>
    <w:p/>
    <w:p>
      <w:pPr>
        <w:widowControl w:val="on"/>
        <w:pBdr/>
        <w:spacing w:before="0" w:after="280" w:line="240" w:lineRule="auto"/>
        <w:ind w:left="0" w:right="0"/>
        <w:jc w:val="left"/>
      </w:pPr>
      <w:r>
        <w:rPr>
          <w:rFonts w:ascii="Arial" w:hAnsi="Arial" w:eastAsia="Arial" w:cs="Arial"/>
          <w:color w:val="363A40"/>
          <w:sz w:val="24"/>
          <w:szCs w:val="24"/>
        </w:rPr>
        <w:t xml:space="preserve">Dokument-ID: 1090875 | Wolfgang Steinberger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Erklärung über die Errichtung einer GmbH und
Sacheinlagevertrag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Erstens: Firma</w:t>
      </w:r>
    </w:p>
    <w:p>
      <w:pPr>
        <w:widowControl w:val="on"/>
        <w:pBdr/>
        <w:spacing w:before="140" w:after="240" w:line="288" w:lineRule="auto"/>
        <w:ind w:left="0" w:right="0"/>
        <w:jc w:val="left"/>
      </w:pPr>
      <w:r>
        <w:rPr>
          <w:rFonts w:ascii="Arial" w:hAnsi="Arial" w:eastAsia="Arial" w:cs="Arial"/>
          <w:color w:val="000000"/>
          <w:sz w:val="20"/>
          <w:szCs w:val="20"/>
        </w:rPr>
        <w:t xml:space="preserve">Herr Andreas Weber errichtet mit heutigem Tag eine Gesellschaft
mit beschränkter Haftung unter der Firma:</w:t>
      </w:r>
    </w:p>
    <w:p>
      <w:pPr>
        <w:widowControl w:val="on"/>
        <w:pBdr/>
        <w:spacing w:before="140" w:after="240" w:line="288" w:lineRule="auto"/>
        <w:ind w:left="0" w:right="0"/>
        <w:jc w:val="left"/>
      </w:pPr>
      <w:r>
        <w:rPr>
          <w:rFonts w:ascii="Arial" w:hAnsi="Arial" w:eastAsia="Arial" w:cs="Arial"/>
          <w:color w:val="000000"/>
          <w:sz w:val="20"/>
          <w:szCs w:val="20"/>
        </w:rPr>
        <w:t xml:space="preserve">XX GmbH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Zweitens: Sitz</w:t>
      </w:r>
    </w:p>
    <w:p>
      <w:pPr>
        <w:widowControl w:val="on"/>
        <w:pBdr/>
        <w:spacing w:before="140" w:after="240" w:line="288" w:lineRule="auto"/>
        <w:ind w:left="0" w:right="0"/>
        <w:jc w:val="left"/>
      </w:pPr>
      <w:r>
        <w:rPr>
          <w:rFonts w:ascii="Arial" w:hAnsi="Arial" w:eastAsia="Arial" w:cs="Arial"/>
          <w:color w:val="000000"/>
          <w:sz w:val="20"/>
          <w:szCs w:val="20"/>
        </w:rPr>
        <w:t xml:space="preserve">Der Sitz der Gesellschaft ist … Die Gesellschaft ist jedoch
berechtigt, auch an anderen Orten im In- oder Ausland
Zweigniederlassungen zu errichten.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Drittens: Gegenstand</w:t>
      </w:r>
    </w:p>
    <w:p>
      <w:pPr>
        <w:widowControl w:val="on"/>
        <w:pBdr/>
        <w:spacing w:before="140" w:after="240" w:line="288" w:lineRule="auto"/>
        <w:ind w:left="0" w:right="0"/>
        <w:jc w:val="left"/>
      </w:pPr>
      <w:r>
        <w:rPr>
          <w:rFonts w:ascii="Arial" w:hAnsi="Arial" w:eastAsia="Arial" w:cs="Arial"/>
          <w:color w:val="000000"/>
          <w:sz w:val="20"/>
          <w:szCs w:val="20"/>
        </w:rPr>
        <w:t xml:space="preserve">Gegenstand des Unternehmens ist …</w:t>
      </w:r>
    </w:p>
    <w:p>
      <w:pPr>
        <w:numPr>
          <w:ilvl w:val="0"/>
          <w:numId w:val="3130763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Betrieb eines Geschäftes für und der Handel mit … Produkten
und alle damit verbundenen Tätigkeiten;</w:t>
      </w:r>
    </w:p>
    <w:p>
      <w:pPr>
        <w:numPr>
          <w:ilvl w:val="0"/>
          <w:numId w:val="31307633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Handel mit Waren aller Art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ist weiters zu allen Geschäften und Maßnahmen
berechtigt, die zur Erreichung des Gesellschaftszweckes förderlich
erscheinen.</w:t>
      </w:r>
    </w:p>
    <w:p>
      <w:pPr>
        <w:widowControl w:val="on"/>
        <w:pBdr/>
        <w:spacing w:before="140" w:after="240" w:line="288" w:lineRule="auto"/>
        <w:ind w:left="0" w:right="0"/>
        <w:jc w:val="left"/>
      </w:pPr>
      <w:r>
        <w:rPr>
          <w:rFonts w:ascii="Arial" w:hAnsi="Arial" w:eastAsia="Arial" w:cs="Arial"/>
          <w:color w:val="000000"/>
          <w:sz w:val="20"/>
          <w:szCs w:val="20"/>
        </w:rPr>
        <w:t xml:space="preserve">Bankgeschäfte sind ausgenommen.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Viertens: Stammkapital</w:t>
      </w:r>
    </w:p>
    <w:p>
      <w:pPr>
        <w:widowControl w:val="on"/>
        <w:pBdr/>
        <w:spacing w:before="140" w:after="240" w:line="288" w:lineRule="auto"/>
        <w:ind w:left="0" w:right="0"/>
        <w:jc w:val="left"/>
      </w:pPr>
      <w:r>
        <w:rPr>
          <w:rFonts w:ascii="Arial" w:hAnsi="Arial" w:eastAsia="Arial" w:cs="Arial"/>
          <w:color w:val="000000"/>
          <w:sz w:val="20"/>
          <w:szCs w:val="20"/>
        </w:rPr>
        <w:t xml:space="preserve">Das Stammkapital der Gesellschaft beträgt EUR 35.000,–
(fünfunddreißigtausend Euro) und wird vom alleinigen Gesellschafter
Andreas Weber übernommen wie folgt:</w:t>
      </w:r>
    </w:p>
    <w:p>
      <w:pPr>
        <w:widowControl w:val="on"/>
        <w:pBdr/>
        <w:spacing w:before="140" w:after="240" w:line="288" w:lineRule="auto"/>
        <w:ind w:left="0" w:right="0"/>
        <w:jc w:val="left"/>
      </w:pPr>
      <w:r>
        <w:rPr>
          <w:rFonts w:ascii="Arial" w:hAnsi="Arial" w:eastAsia="Arial" w:cs="Arial"/>
          <w:color w:val="000000"/>
          <w:sz w:val="20"/>
          <w:szCs w:val="20"/>
        </w:rPr>
        <w:t xml:space="preserve">Ein Teil seines Gesellschaftsanteiles, der einer Stammeinlage
von EUR 17.500,– (siebzehntausendfünfhundert Euro) entspricht,
welche zur Gänze bar einbezahlt ist und der übrige Teil des
Gesellschaftsanteiles, welcher einer Stammeinlage in der Höhe von
EUR 17.500,– (siebzehntausendfünfhundert Euro) entspricht, der
in Form einer Sacheinlage im Wert von EUR 17.500,–
(siebzehntausendfünfhundert Euro) eingebracht wird, wobei für diese
Sacheinlage die in Punkt Fünftens dieser Erklärung über die
Errichtung einer Gesellschaft mit beschränkter Haftung festgelegte
Sacheinlagenvereinbarung gilt. Es ist daher bei
Gesellschaftsgründung ein Betrag von EUR 17.500,–
(siebzehntausendfünfhundert Euro) bar einbezahlt und
EUR 17.500,– (siebzehntausendfünfhundert Euro) als Sacheinlage
eingebracht.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Fünftens: Einbringung einer
Sacheinlage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Anrechnung auf seine Stammeinlage bringt der Gesellschafter
Andreas Weber als Sacheinlage den Teilbetrieb „XX“ des ihm
gehörigen, nicht protokollierten Einzelunternehmens „Andreas Weber“
mit dem Unternehmensgegenstand: … welches am Standort … betrieben
wird und unter der Steuernummer … beim Finanzamt … steuerlich
erfasst ist und seit …, sohin seit mehr als fünf Jahren, besteht,
ein.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Klarstellend wird festgehalten, dass alle dem Teilbetrieb „…“
zugeordneten Wirtschaftsgüter und Vermögenswerte nicht eingebracht
werden und sohin im Einzelunternehmen verbleiben. Ferner wird das
Konto IBAN: …, welches in der Bilanz Beilage ./1 nicht aufscheint,
im nicht protokollierten Einzelunternehmen „Andreas Weber“
zurückbehalten und sohin </w:t>
            </w:r>
            <w:r>
              <w:rPr>
                <w:rFonts w:ascii="Arial" w:hAnsi="Arial" w:eastAsia="Arial" w:cs="Arial"/>
                <w:b/>
                <w:bCs/>
                <w:color w:val="000000"/>
                <w:position w:val="0"/>
                <w:sz w:val="20"/>
                <w:szCs w:val="20"/>
                <w:shd w:val="clear" w:color="auto" w:fill="FFFFFF"/>
              </w:rPr>
              <w:t xml:space="preserve">„nicht“</w:t>
            </w:r>
            <w:r>
              <w:rPr>
                <w:rFonts w:ascii="Arial" w:hAnsi="Arial" w:eastAsia="Arial" w:cs="Arial"/>
                <w:color w:val="000000"/>
                <w:position w:val="0"/>
                <w:sz w:val="20"/>
                <w:szCs w:val="20"/>
                <w:shd w:val="clear" w:color="auto" w:fill="FFFFFF"/>
              </w:rPr>
              <w:t xml:space="preserve"> eingebracht.
Dieses Konto verbleibt im Einzelunternehmen.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Somit wird die XX GmbH zum ausschließlichen Zweck der
Fortführung des seit mehr als fünf Jahren bestehenden Teilbetrieb
„XX“ des nicht protokollierten Einzelunternehmens „Andreas Weber“
errichtet und es wird der XX GmbH nur der letzte alleinige Inhaber
des nicht protokollierten Einzelunternehmens „Andreas Weber“ als
Alleingesellschafter angehören, sodass der Alleingesellschafter für
die gegenständliche Gründung die Begünstigungen des § 6a GmbHG
(Paragraph sechs litera a Gesetz über Gesellschaften mit
beschränkter Haftung) in Anspruch nimmt, soweit dies rechtlich
erforderlich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Dieser Teilbetrieb des Einzelunternehmens hat gemäß der Bilanz
zum …, Beilage ./1 ein positives Einbringungskapital von EUR …
(… Euro), wobei für die Sacheinlage ein Betrag in der Höhe von
EUR 17.500,– (siebzehntausendfünfhundert Euro) für die
Stammeinlage herangezogen wird und der darüber hinausgehende Betrag
des Einbringungskapitals in Höhe von EUR … (… Euro) der freien
Rücklage zuzuführen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beschriebene Teilbetrieb des Einzelunternehmens besteht seit
mehr als fünf Jahren und hat einen positiven Verkehrswert, sodass
die Bestimmungen des § 6a Abs 2 GmbHG (Paragraph sechs
litera a Absatz zwei über Gesellschaften mit beschränkter Haftung)
Anwendung finden und es keiner Prüfung der Sacheinlage
gem § 6a Abs 4 GmbHG (Paragraph sechs litera a
Absatz vier über Gesellschaften mit beschränkter Haftung) in
Verbindung mit §§ 20 ff (Paragraphen zwanzig fortfolgende)
Aktiengesetz bedarf. Da das halbe Stammkapital in bar einbezahlt
wird, ist eine Gründungsprüfung rechtlich ohnehin nicht
erforderlich.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Übergabe und Übernahme des eingebrachten Teilbetriebs des
Einzelunternehmens gilt bis zum Einbringungsstichtag …,Tagesablauf,
als vollzogen. Durch die gegenständliche Einbringung sind alle in
der vorangeführten Bilanz erfassten Vermögenswerte, Rechte und
Verbindlichkeiten, sowie alle in der Bilanz mangels
Anschaffungswerten nicht aufscheinenden Rechte und
Verbindlichkeiten und alle dienstrechtlichen Verpflichtungen
einschließlich aller Anwartschaften auf die Gesellschaft
übergegangenen, soweit diese zum Teilbetrieb „XX“ gehören.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 Andreas Weber haftet dafür, dass der von ihm eingebrachte
Teilbetrieb seines Einzelunternehmens in seinem unbeschränkten
Eigentum steht und nicht mit irgendwelchen Rechten Dritter belastet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eingebrachte Teilbetrieb des Einzelunternehmens hat gemäß
der eingangs angeführten Bilanz zum … einen positiven
Verkehrswert.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die gegenständliche Einbringung werden die
umgründungssteuerrechtlichen Begünstigungen in Anspruch
genommen.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eingebrachte Teilbetrieb des Einzelunternehmens besitzt kein
Liegenschaftsvermögen.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Einbringende erklärt, dass seit dem Einbringungsstichtag
Entnahmen aus dem Betriebsvermögen, wenn überhaupt, dann nur soweit
getätigt wurden, als sie in den in der Einbringungsbilanz
ausgewiesenen Passivposten für Entnahmen gem § 16 UmgrStG
(Paragraph sechzehn Umgründungssteuergesetz) gedeckt sind.
Allfällige Verbindlichkeiten gem § 16 UmgrStG (Paragraf
sechzehn Umgründungssteuergesetz) werden nur nach tatsächlicher
Liquidität beziehungsweise aus erwirtschafteten Gewinnen der
Gesellschaft bedient.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gegenständliche Einbringung als Sacheinlage erfolgt unter
Verzicht auf eine Gewährung neuer Anteile an der übernehmenden
Gesellschaft und somit ohne Gegenleistung, da der einbringende
Gesellschafter sowohl am eingebrachten Teilbetrieb des
Einzelunternehmens als auch an der übernehmenden Gesellschaft
jeweils allein beteiligt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 Andreas Weber nimmt die Bestimmung des § 12a MRG
(Paragraph zwölf litera a Mietrechtsgesetz) zur Kenntnis, wonach
bei Bestandverhältnissen, bei welchen der derzeitige Hauptmietzins
niedriger als der angemessene Hauptmietzins ist, der Vermieter
allenfalls zu einer Anhebung des Mietzinses nach Durchführung
dieser Umgründungsmaßnahme berechtigt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 erklärt, dass sämtliche Dienstverhältnisse, die zum Betrieb
des eingebrachten Teilbetriebes des nicht protokollierten
Einzelunternehmens gehören – es handelt sich hierbei um vier
Dienstverhältnisse – gemäß Arbeitsvertragsrechtsanpassungsgesetz
von der übernehmenden Gesellschaft mit gleichen Rechten und
Pflichten übernommen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5.10</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Gegenständliche Einbringung erfolgt nicht im Wege der
Gesamtrechtsnachfolge. Aufgrund der Einzelrechtsnachfolgewirkung
der vertragsgegenständlichen Einbringung wird auf die gesetzlichen
Bestimmungen des UGB (Unternehmensgesetzbuch) zur Übernahme von
Rechtsverhältnissen (§§ 38 ff UGB [Paragraphen achtunddreißig
fortfolgende Unternehmensgesetzbuch]) verwiesen. Dazu wird
insbesondere festgehalten, dass die bestehenden
Vertragsverhältnisse des eingebrachten Teilbetriebs des
Einzelunternehmens auf die übernehmende Gesellschaft übergehen,
allerdings die jeweiligen Vertragspartner der Übernahme
gem § 38 Abs 2 UGB (Paragraph achtunddreißig Absatz
zwei Unternehmensgesetzbuch) widersprechen dürfen. Der Einbringende
und die übernehmende Gesellschaft sind daher verpflichtet, den
jeweiligen Vertragspartnern von der Vertragsübernahme Mitteilung zu
machen, und zwar mit dem ausdrücklichen Hinweis, der Übernahme
gem § 38 Abs 2 UGB (Paragraph achtunddreißig Absatz
2 Unternehmensgesetzbuch) widersprechen zu dürfen.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tatsächliche Vermögensübergang der eingebrachten
Vermögenswerte erfolgt mit dem Tag der fristgerechten Anmeldung des
Einbringungsvorganges beim Firmenbuchgericht.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Sechstens: Dauer</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ist auf unbestimmte Zeit errichtet.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Siebentens: Geschäftsjahr</w:t>
      </w:r>
    </w:p>
    <w:p>
      <w:pPr>
        <w:widowControl w:val="on"/>
        <w:pBdr/>
        <w:spacing w:before="140" w:after="240" w:line="288" w:lineRule="auto"/>
        <w:ind w:left="0" w:right="0"/>
        <w:jc w:val="left"/>
      </w:pPr>
      <w:r>
        <w:rPr>
          <w:rFonts w:ascii="Arial" w:hAnsi="Arial" w:eastAsia="Arial" w:cs="Arial"/>
          <w:color w:val="000000"/>
          <w:sz w:val="20"/>
          <w:szCs w:val="20"/>
        </w:rPr>
        <w:t xml:space="preserve">Das erste Geschäftsjahr der Gesellschaft beginnt mit dem Tag der
handelsgerichtlichen Eintragung und endet mit dem darauffolgenden
30.06. (dreißigsten Juni). Die weiteren Geschäftsjahre beginnen
jeweils mit dem 01.07. (ersten Juli) und enden am 30.06.
(dreißigsten Juni) des Folgejahres.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Achtens: Vertretung der
Firma/Geschäftsführung</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hat einen oder mehrere Geschäftsführer. Die
Gesellschaft wird, wenn mehrere Geschäftsführer bestellt sind,
durch zwei Geschäftsführer gemeinsam oder durch einen von ihnen
gemeinsam mit einem Gesamtprokuristen vertreten.</w:t>
      </w:r>
    </w:p>
    <w:p>
      <w:pPr>
        <w:widowControl w:val="on"/>
        <w:pBdr/>
        <w:spacing w:before="140" w:after="240" w:line="288" w:lineRule="auto"/>
        <w:ind w:left="0" w:right="0"/>
        <w:jc w:val="left"/>
      </w:pPr>
      <w:r>
        <w:rPr>
          <w:rFonts w:ascii="Arial" w:hAnsi="Arial" w:eastAsia="Arial" w:cs="Arial"/>
          <w:color w:val="000000"/>
          <w:sz w:val="20"/>
          <w:szCs w:val="20"/>
        </w:rPr>
        <w:t xml:space="preserve">Mit Gesellschaftsbeschluss oder durch Beschluss der
Generalversammlung kann, auch wenn mehrere Geschäftsführer bestellt
sind, einzelnen von ihnen selbstständige Vertretungsbefugnis
erteilt werden.</w:t>
      </w:r>
    </w:p>
    <w:p>
      <w:pPr>
        <w:widowControl w:val="on"/>
        <w:pBdr/>
        <w:spacing w:before="140" w:after="240" w:line="288" w:lineRule="auto"/>
        <w:ind w:left="0" w:right="0"/>
        <w:jc w:val="left"/>
      </w:pPr>
      <w:r>
        <w:rPr>
          <w:rFonts w:ascii="Arial" w:hAnsi="Arial" w:eastAsia="Arial" w:cs="Arial"/>
          <w:color w:val="000000"/>
          <w:sz w:val="20"/>
          <w:szCs w:val="20"/>
        </w:rPr>
        <w:t xml:space="preserve">Die Zeichnung der Firma erfolgt in der Weise, dass der
Vertretende dem Firmenwortlaut seine Unterschrift beisetzt,
Prokuristen mit einem die Prokura andeutenden Zusatz.</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Neuntens: Generalversammlung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ordentliche Generalversammlung ist einmal jährlich innerhalb
der ersten acht Monate eines jeden Geschäftsjahres einzuberufen.
Darüber hinaus ist die Generalversammlung in den im Gesetz
vorgesehenen Fällen oder aus gegebenem Anlass (außerordentliche
Generalversammlung) einzuberufen. Ordentliche und außerordentliche
Generalversammlung finden am Sitz der Gesellschaft oder einer
österreichischen Landeshauptstadt oder Bezirkshauptstadt statt.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Beschlüsse der Gesellschafter – soweit sie üblicherweise in
einer Generalversammlung gefasst werden und soweit gesetzlich
zulässig – können jederzeit auch auf schriftlichem Wege gefasst
werden, sofern sämtliche Gesellschafter im Einzelfall hiermit
einverstanden sind.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Sämtliche Beschlüsse bedürfen – sofern das Gesetz oder diese
Errichtungserklärung nicht strengere Voraussetzungen fordern – der
einfachen Mehrheit der abgegebenen Stimmen.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Je EUR 10,– (zehn Euro) einer übernommen Stammeinlage
gewähren eine Stimme. Jedem Gesellschafter steht jedoch mindestens
eine Stimme zu.</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kein anderslautender Beschluss gefasst wird, führt den
Vorsitz der an Lebensjahren älteste anwesende Gesellschafter
beziehungsweise anwesende Gesellschafter-Vertreter. Sollte dieser
den Vorsitz nicht übernehmen, so ist der nächstälteste anwesende
Gesellschafter beziehungsweise anwesende Gesellschafter-Vertreter
berechtigt, den Vorsitz zu übernehmen.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Vertretung von Gesellschaftern aufgrund von schriftlichen
Stimmrechtsvollmachten ist zulässig.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Generalversammlung wird durch die Geschäftsführung mittels
eingeschriebenen Briefes an sämtliche Gesellschafter einberufen,
und zwar jeweils an die Adresse, welche zuletzt der Gesellschaft
bekannt gegeben wurde. Jeder Gesellschafter ist ebenso berechtigt,
eine Generalversammlung einzuberufen, wenn die Geschäftsführung
einem Einberufungsbegehren eines Gesellschafters nicht innerhalb
einer Woche nachkommt. Zwischen dem Tag der Aufgabe der Einberufung
zur Post und dem Tag der Versammlung muss ein Zeitraum von
mindestens 14 (vierzehn) Tagen liegen.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Zur Beschlussfähigkeit der Generalversammlung ist es
erforderlich, dass soweit in der Errichtungserklärung nichts
anderes bestimmt ist, mehr als die Hälfte des Stammkapitals
vertreten ist. Im Fall der Beschlussunfähigkeit einer
Generalversammlung ist unter Hinweis auf deren Beschlussunfähigkeit
eine neue Generalversammlung einzuberufen, die auf die Verhandlung
der Gegenstände der früheren Versammlung beschränkt und ohne
Rücksicht auf die Höhe des vertretenen Stammkapitals beschlussfähig
ist. Diese neue Generalversammlung darf nicht früher als 4 (vier)
Wochen nach der beschlussfähigen Generalversammlung
stattfinden.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die Verhandlung der Generalversammlung (insbesondere die
Beschlussfassungen) ist eine Niederschrift aufzunehmen, die vom
Vorsitzenden der Generalversammlung zu unterschreiben ist. Über den
konkreten Umfang der Protokollierung entscheidet der Vorsitzende.
Jedem Gesellschafter ist eine Abschrift der Niederschrift zu
übermitteln.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Zehntens: Geschäftsanteile</w:t>
      </w:r>
    </w:p>
    <w:p>
      <w:pPr>
        <w:widowControl w:val="on"/>
        <w:pBdr/>
        <w:spacing w:before="140" w:after="240" w:line="288" w:lineRule="auto"/>
        <w:ind w:left="0" w:right="0"/>
        <w:jc w:val="left"/>
      </w:pPr>
      <w:r>
        <w:rPr>
          <w:rFonts w:ascii="Arial" w:hAnsi="Arial" w:eastAsia="Arial" w:cs="Arial"/>
          <w:color w:val="000000"/>
          <w:sz w:val="20"/>
          <w:szCs w:val="20"/>
        </w:rPr>
        <w:t xml:space="preserve">Die Geschäftsanteile bestimmen sich nach der Höhe der übernommen
Stammeinlage, sind teilbar und übertragbar. Jedem Gesellschafter
steht nur ein Geschäftsanteil zu.</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Elftens: Abtretung von
Geschäftsanteilen und Vorkaufsrecht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entgeltliche oder (teilweise) unentgeltliche Übertragung von
Geschäftsanteilen oder Teilen von Geschäftsanteilen an Personen,
die der Gesellschaft nicht schon als Gesellschafter angehören,
bedarf eines vorher einzuholenden zustimmenden Beschlusses der
Generalversammlung. Ohne zustimmenden Beschluss der
Generalversammlung hat die Übertragung der Geschäftsanteile zu
unterbleiben und der abtretungswillige Gesellschafter ist
gegebenenfalls auf die Vorschriften zur Kündigung verwiesen. Mit
zustimmendem Beschluss der Generalversammlung ist nach den
folgenden Bestimmungen über das Vorkaufsrecht vorzugehen.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Eine Übertragung im Sinne dieses Punktes Zehntens stellt jede
bedingte oder unbedingte, entgeltliche oder (teilweise)
unentgeltliche Übertragung oder andere Verfügung über
Geschäftsanteile dar, insbesondere jede Abtretung, sei es auch nur
die Übertragung einer Treugeberstellung, Begründung einer
Treuhandschaft, Einbringung, stille Beteiligung oder Übertragung im
Zusammenhang mit Umgründungen, wie insbesondere Verschmelzungen,
Umwandlungen, Spaltungen, Realteilungen und Zusammenschlüsse.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Den übrigen Gesellschaftern steht hinsichtlich des zu
übertragenden Geschäftsanteiles oder Teiles des Geschäftsanteiles
ein Vorkaufsrecht im Verhältnis ihrer Geschäftsanteile zu. Jeder
Gesellschafter ist daher verpflichtet, im Fall der beabsichtigten
entgeltlichen oder unentgeltlichen Übertragung eines
Geschäftsanteiles oder eines Teiles seines Geschäftsanteiles den
übrigen Gesellschaftern unter Bekanntgabe der Vertragsbedingungen
und insbesondere des Preises denselben zum Erwerb anzubieten.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Nicht in Geld bestehende Gegenleistungen eines Dritten sind in
Geld zu bewerten. Die Fälligkeit eines Preises richtet sich nach
den Bestimmungen der das Vorkaufsrecht auslösenden
Vertragsbedingungen des anbietenden Dritten.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 einer das Vorkaufsrecht auslösenden geplanten
unentgeltlichen oder teilweise unentgeltlichen Übertragung des
Geschäftsanteiles ist als Vorkaufspreis der Verkehrswert von den
vorkaufsberechtigten Gesellschaftern zu leisten. Diesbezüglich wird
auf die Bestimmungen des Punktes Zwölftens zur Kündigung verwiesen.
Eine teilweise unentgeltliche Übertragung liegt vor, wenn die
angebotene Gegenleistung des Dritten weniger als 50 % (fünfzig
Prozent) des Verkehrswertes des Geschäftsanteiles beträgt.
Umgründungen gelten in diesem Zusammenhang jedenfalls als
unentgeltliche Übertragung.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Den vorkaufsberechtigten Gesellschaftern steht für die Ausübung
des Vorkaufsrechts (in Form eines Notariatsaktes) eine Frist von 30
(dreißig) Tagen ab Zustellung der Bekanntgabe der beabsichtigten
Übertragung und der Bekanntgabe der beabsichtigten
Vertragsbedingungen zu. Bei Übertragungen gemäß Punkt 10.4 (wenn
nicht alle Gegenleistungen des Dritten in Geld bestehen) oder gemäß
Punkt 10.5 (wenn die Übertragung wenigstens teilweise unentgeltlich
erfolgt) läuft die Frist für die Ausübung des Vorkaufsrechts erst
ab Zugang des Sachverständigengutachtens, soweit keine allseitige
Einigung über den Verkaufspreis innerhalb von 14 (vierzehn) Tagen
ab Verständigung gemäß Punkt 10.3 erzielt werden konnte. Betreffend
das Sachverständigengutachten gilt Punkt 12.4 sinngemäß. Macht ein
Gesellschafter von diesem Vorkaufsrecht keinen Gebrauch, dann
wächst das diesem Gesellschafter zustehende Vorkaufsrecht den
übrigen vorkaufswilligen Gesellschaftern verhältnismäßig zu. Die
vorkaufsberechtigten Gesellschafter haben anlässlich der Ausübung
des Vorkaufsrechtes gemäß diesem Vertragspunkt zu erklären, ob sie
– für den Fall der Nicht-Ausübung des Vorkaufsrechtes durch
sonstige vorkaufsberechtigten Gesellschafter – auch das diesen
zustehende Vorkaufsrecht verhältnismäßig ausüben.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das Vorkaufsrecht in Übereinstimmung mit den
vorstehenden Bestimmungen nicht zur Gänze hinsichtlich des
Geschäftsanteiles oder Teiles des Geschäftsanteiles ausgeübt wird,
gilt das Vorkaufsrecht insgesamt als nicht wirksam ausgeübt. In
diesem Fall darf der Geschäftsanteil oder Teil des
Geschäftsanteiles innerhalb von 3 (drei) Monaten nach Abschluss des
obgenannten Vorkaufsverfahrens an den Dritten zu den genannten
Konditionen übertragen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Zwölftens: Vererbung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Ablebensfall eines Gesellschafters steht hinsichtlich dessen
Geschäftsanteils den verbleibenden Gesellschaftern ein
Aufgriffsrecht analog zu den in diesem Vertrag für die Kündigung
geltenden Bestimmungen zu.</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Sobald einer der Geschäftsführer vom Tod eines Gesellschafters
Kenntnis erhält, hat er unverzüglich alle anderen Gesellschafter
unter der letzten verzeichneten Adresse durch eingeschriebenen
Brief zu verständigen.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Aufgriffsrecht ist längstens binnen sechs Monaten ab
Verständigung gemäß Punkt 11.2 mit eingeschriebenem Brief, der an
die Gesellschaft zu richten ist, geltend zu machen (in Form eines
Notariatsakts), wobei die Geschäftsführer verpflichtet sind, dies
den Erben beziehungsweise den Vertretern der Verlassenschaft
unverzüglich mitzuteilen.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Soweit keine allseitige Einigung über den Aufgriffspreis erzielt
werden konnte und ein Sachverständigengutachten zu erstellen ist,
endet die Frist für die Ausübung des Aufgriffsrechts 14 (vierzehn)
Tage nach Zugang des Sachverständigengutachtens, auch wenn die
Frist von sechs Monaten gemäß Punkt 12.3 bereits abgelaufen
wäre.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Betreffend das Sachverständigengutachten gilt Punkt 13.4
sinngemäß. Die Fälligkeit des Aufgriffspreises richtet sich nach
dem Tag des Ablebens des betroffenen Gesellschafters.</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Dreizehntens: Kündigung/Auflösung
und Liquidation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kann außer aus den im Gesetz bestimmten Gründen
auch durch Kündigung durch einen der Gesellschafter aufgelöst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Kündigung ist jeweils zum Ende eines Geschäftsjahres unter
Einhaltung einer sechsmonatigen Kündigungsfrist durch
eingeschriebenen Brief an die Geschäftsführung zu erklären. Sobald
einer der Geschäftsführer von der Kündigung Kenntnis erhält, hat er
unverzüglich alle anderen Gesellschafter unter der letzten
verzeichneten Adresse durch eingeschriebenen Brief zu
verständigen.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aufgekündigten Gesellschafter haben das Recht, binnen 30
(dreißig) Tagen ab Verständigung gemäß Punkt 13.2 dem kündigenden
Gesellschafter mittels eingeschriebenen Briefes mitzuteilen, dass
sie anteilsmäßig den Geschäftsanteil des kündigenden
Gesellschafters aufgreifen, wobei diesem Brief die in Form eines
Notariatsakts beurkundete Aufgriffserklärung beizulegen ist. Soweit
keine allseitige Einigung über den Aufgriffspreis erzielt werden
konnte und ein Sachverständigengutachten zu erstellen ist, endet
die Frist für die Ausübung des Aufgriffsrechts 14 (vierzehn) Tage
nach Zugang des Sachverständigengutachtens, auch wenn die
vorgenannte Frist von 30 (dreißig) Tagen bereits abgelaufen
wäre.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nur der eine oder andere Gesellschafter von dem
vorstehend ausgeführten Aufgriffsrecht Gebrauch machen, so hat der
kündigende Gesellschafter seinen Geschäftsanteil anteilsmäßig nur
an jene Gesellschafter zu übertragen, die von ihrem Aufgriffsrecht
(in Form eines Notariatsakts) Gebrauch gemacht haben.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also zumindest ein Gesellschafter von dem
Aufgriffsrecht (in Form eines Notariatsakts) Gebrauch macht und der
gesamte Geschäftsanteil des Kündigenden übernommen wird, wird die
Gesellschaft durch Kündigung nicht aufgelöst.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Aufgriffspreis: Kann einige Einigung über den Aufgriffspreis des
Geschäftsanteiles nicht innerhalb von 30 (dreißig) Tagen ab
Verständigung gemäß Punkt 13.2 erzielt werden, so hat der
kündigende Gesellschafter für seinen Anteil Anspruch auf den Wert,
welcher nach den Grundsätzen des Fachgutachtens „KFS-BW 1“ des
Fachsenats für Betriebswirtschaft und Organisation des Instituts
für Betriebswirtschaft, Steuerrecht und Organisation der Kammer der
Steuerberater und Wirtschaftsprüfer oder des an dessen Stelle
tretendes Gutachtens der Kammer der Steuerberater und
Wirtschaftsprüfer von einem von allen Gesellschaftern gemeinsam zu
bestimmenden Sachverständigen zu bestimmen ist. Der Sachverständige
muss Steuerberater oder Wirtschaftsprüfer sein. Als Wert des
Geschäftsanteiles des kündigenden Gesellschafters ist der vom
Sachverständigen berechnete Wert dieses Anteils zu nehmen, wobei
dieser Wert für die Gesellschafter als Schiedsspruch gilt sowie
endgültig und bindend ist, sofern keine offensichtlichen Fehler
aufgetreten sind.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den Fall, dass die Wahl des diesbezüglichen Sachverständigen
im allseitigen Einvernehmen nicht möglich sein sollte, ist der
Sachverständige über Antrag eines Gesellschafters vom Präsidenten
der Kammer der Steuerberater und Wirtschaftsprüfer zu
bestellen.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Aufgriffspreis ist längstens innerhalb eines Jahres ab
Einlangen der Kündigungserklärung, jedoch – sofern ein
Sachverständigengutachten eingeholt wurde – nicht früher als sechs
Monate nach Fertigstellung des Sachverständigengutachtens zur
Zahlung fällig. Der Aufgriffspreis wird nicht verzinst, jedoch mit
dem von der Statistik Austria veröffentlichten Index der
Verbraucherpreise 2015 (zweitausendfünfzehn) in der Weise
wertgesichert, dass er sich in demselben Maße wie dieser erhöht
oder vermindert.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Als Bemessungsgrundlage dient die für den Monat des Einlangens
der Kündigungserklärung zur Veröffentlichung gelangende
Indexziffer, während für das Ausmaß der Wertsicherung die für den
Monat der Auszahlung zur Veröffentlichung gelangende Indexziffer
maßgebend ist.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der obgenannte Index der Verbraucherpreise nicht mehr
veröffentlicht werden, so ist der an dessen Stelle von der
Statistik Austria veröffentlichte Index der Ermittlung der
Wertsicherung zugrunde zu legen. Sollte auch ein solcher Index
nicht mehr veröffentlicht werden, so ist die Berechnung nach den
Grundsätzen (Warenkorb) des Index der Verbraucherpreise 2015
(zweitausendfünfzehn) vorzunehmen.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 von dem Aufgriffsrecht gemäß Punkt 13.3 von keinem
Gesellschafter (in Form eines Notariatsakts) Gebrauch gemacht
werden, so gilt die Kündigung als Auflösungsgrund und führt zur
Liquidation der Gesellschaft.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Fall der Auflösung der Gesellschaft erfolgt deren Liquidation
mangels Vorliegens eines anderslautenden Gesellschafterbeschlusses
durch die letzten Geschäftsführer als Liquidatoren.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Vierzehntens: Besondere
Erwerbsrechte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Tritt bei einem der Gesellschafter eines der in der Folge
genannten Ereignisse ein, und zwar:</w:t>
            </w:r>
          </w:p>
          <w:tbl>
            <w:tblPr>
              <w:tblStyle w:val="NormalTablePHPDOCX"/>
              <w:tblW w:w="5000" w:type="pct"/>
              <w:tblInd w:w="0" w:type="auto"/>
              <w:tblBorders>
                <w:top w:val="nil" w:color="363A40" w:sz="0"/>
                <w:left w:val="nil" w:color="363A40" w:sz="0"/>
                <w:bottom w:val="nil" w:color="363A40" w:sz="0"/>
                <w:right w:val="nil" w:color="363A40" w:sz="0"/>
              </w:tblBorders>
              <w:shd w:val="clear" w:color="auto" w:fill="FFFFFF"/>
            </w:tblPr>
            <w:tblGrid>
              <w:gridCol w:w="1"/>
              <w:gridCol w:w="1"/>
            </w:tblGrid>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14.1.1</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Eröffnung eines Insolvenzverfahrens über das Vermögen des
Gesellschafters, soweit dieses nicht innerhalb von 14 (vierzehn)
Tagen wieder eingestellt wird, oder Abweisung der Eröffnung eines
solchen Verfahrens mangels Masse</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14.1.2</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Übertragung eines Geschäftsanteils oder Teiles davon durch
rechtskräftige Aufteilung des ehelichen Vermögens infolge
Scheidung, Aufhebung oder Nichtigerklärung der Ehe, soweit der
Ehegatte zu diesem Zeitpunkt kein Gesellschafter der Gesellschaft
war</w:t>
                  </w:r>
                </w:p>
              </w:tc>
            </w:tr>
            <w:tr>
              <w:trPr>
                <w:trHeight w:val="0" w:hRule="atLeast"/>
              </w:trPr>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14.1.3</w:t>
                  </w:r>
                </w:p>
              </w:tc>
              <w:tc>
                <w:tcPr>
                  <w:tcW w:w="0" w:type="auto"/>
                  <w:shd w:val="clear" w:color="auto" w:fill="FFFFFF"/>
                  <w:tcMar>
                    <w:top w:w="0" w:type="auto"/>
                    <w:left w:w="0" w:type="auto"/>
                    <w:bottom w:w="0" w:type="auto"/>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Sonstige wichtige Gründe, welche die Ausschließung des
Gesellschafters aus der Gesellschaft gem § 140 UGB
(Paragraph einhundertvierzig Unternehmensgesetzbuch)
rechtfertigen;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ist dieser Gesellschafter beziehungsweise der Insolvenzverwalter
(sofern ein solcher bestellt ist) verpflichtet (der
„Verpflichtete“), den Geschäftsanteil des Gesellschafters, bei dem
einer der zuvor erwähnten Umstände eingetreten ist, den übrigen
Gesellschaftern zum Erwerb anzubieten</w:t>
                  </w:r>
                </w:p>
              </w:tc>
            </w:tr>
          </w:tbl>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Verpflichtete hat alle übrigen Gesellschafter unverzüglich,
jedoch längstens innerhalb einer Woche, über den Eintritt einer der
vorerwähnten Umstände durch eingeschriebenen Brief zu verständigen
und gleichzeitig den entsprechenden Geschäftsanteil zum Erwerb
anzubieten.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Aufgriffsrecht steht den übrigen Gesellschaftern analog zu
den in diesem Vertrag für die Kündigung geltenden Bestimmungen
zu.</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Aufgriffspreis ist ebenso zu errechnen und zur Zahlung
fällig wie im Fall der Kündigung.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Fünfzehntens: Verpfändung</w:t>
      </w:r>
    </w:p>
    <w:p>
      <w:pPr>
        <w:widowControl w:val="on"/>
        <w:pBdr/>
        <w:spacing w:before="140" w:after="240" w:line="288" w:lineRule="auto"/>
        <w:ind w:left="0" w:right="0"/>
        <w:jc w:val="left"/>
      </w:pPr>
      <w:r>
        <w:rPr>
          <w:rFonts w:ascii="Arial" w:hAnsi="Arial" w:eastAsia="Arial" w:cs="Arial"/>
          <w:color w:val="000000"/>
          <w:sz w:val="20"/>
          <w:szCs w:val="20"/>
        </w:rPr>
        <w:t xml:space="preserve">Die Verpfändung von Geschäftsanteilen, oder von Teilen derselben
bedarf der vorherigen Zustimmung der Generalversammlung.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Sechzehntens: Bekanntmachungen</w:t>
      </w:r>
    </w:p>
    <w:p>
      <w:pPr>
        <w:widowControl w:val="on"/>
        <w:pBdr/>
        <w:spacing w:before="140" w:after="240" w:line="288" w:lineRule="auto"/>
        <w:ind w:left="0" w:right="0"/>
        <w:jc w:val="left"/>
      </w:pPr>
      <w:r>
        <w:rPr>
          <w:rFonts w:ascii="Arial" w:hAnsi="Arial" w:eastAsia="Arial" w:cs="Arial"/>
          <w:color w:val="000000"/>
          <w:sz w:val="20"/>
          <w:szCs w:val="20"/>
        </w:rPr>
        <w:t xml:space="preserve">Die Bekanntmachungen der Gesellschaft erfolgen durch Übersendung
eingeschriebener Briefe an die einzelnen Gesellschafter unter der
der Gesellschaft zuletzt bekannt gegebenen Anschrift.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Siebzehntens: Gewinnverteilung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Entscheidung über die Verwendung des Bilanzgewinnes ist der
Generalversammlung vorbehalten. Die Generalversammlung entscheidet
jährlich über die Verwendung des Bilanzgewinnes.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Gesellschafter können durch einfachen Mehrheitsbeschluss
neben der Ausschüttung des Bilanzgewinnes die Bildung von Rücklagen
in angemessenem Ausmaß ebenso wie (auch die gesamte) Thesaurierung
des Gewinnes (Gewinnvortrag) beschließen.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Grundsätzlich ist der Bilanzgewinn im Verhältnis der
übernommenen Stammeinlagen an die Gesellschafter auszuschütten.
Durch einstimmigen Beschluss sämtlicher Gesellschafter kann auch
eine vom Verhältnis der Stammeinlagen abweichende
Gewinnausschüttung an die Gesellschafter vorgenommen werden. Ein
solcher Beschluss gilt immer nur für das beschluss- gegenständliche
Geschäftsjahr, es können von den Gesellschaftern daraus keine
Ansprüche für Folgegeschäftsjahre abgeleitet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Sofern die Generalversammlung nichts anderes beschließt, sind
zur Ausschüttung gelangende Gewinnanteile vierzehn Tage nach
Beschlussfassung über die Gewinnverteilung zur Zahlung an die
Gesellschafter fällig.</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17.5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Gesellschafter können durch einstimmigen Beschluss eine
Geschäftsordnung für die Geschäftsführer erlassen, in der Art und
Ausmaß der zulässigerweise zu bildenden Rücklagen näher geregelt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Achtzehntens: Allgemeine
Bestimmungen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Insofern durch diese Errichtungserklärung, deren gültige
Abänderungen oder durch gültige Generalversammlungsbeschlüsse
nichts anderes bestimmt ist, gelten die Bestimmungen des Gesetzes
über die Gesellschaften mit beschränkter Haftung und ergänzend die
der übrigen Gesetze.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Wenn eine Bestimmung dieser Errichtungserklärung unzulässig,
unwirksam oder undurchsetzbar ist oder wird, so haben die
Gesellschafter diese Bestimmung durch eine erlaubte, wirksame und
durchsetzbare Bestimmung zu ersetzen, die dem Zweck der zu
ersetzenden Bestimmung möglichst nahe kommt oder die
Errichtungserklärung sonst ihrem jetzigen wirtschaftlichen Gehalt
entsprechend beziehungsweise möglichst nahekommend anzupassen. Das
gilt sinngemäß auch für ergänzungsbedürftige Lücken.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Parteien sind in Kenntnis, dass jegliche Ausübung eines
Vorkaufs-, Aufgriffs- oder besonderen Erwerbsrechts durch
Übermittlung einer beglaubigten Abschrift oder Ausfertigung einer
in Form eines Notariatsaktes beurkundeten diesbezüglichen
Ausübungserklärung des hierzu berechtigten Gesellschafters zu
erfolgen hat.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Parteien vereinbaren, dass Vorkaufs-, Aufgriffs- oder
besondere Erwerbsrechte im Sinne dieses Gesellschaftsvertrags auch
dann sinngemäß gelten, wenn ein das Recht auslösendes Ereignis bei
einem Gesellschafter, der eine juristische Person ist, mittelbar
auf dessen Gesellschafterebene eintritt.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Neunzehntens: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Die mit der Errichtung und Registrierung der Gesellschaft
verbundenen Kosten und Abgaben werden bis zum Höchstbetrag von
EUR 5.000,– (fünftausend Euro) von der Gesellschaft getragen.
Die Gründungskosten müssen nach Maßgabe der tatsächlichen
Inanspruchnahme in vollem Betrag als Ausgabe in die erste
Jahresrechnung eingestellt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Zwanzigstens: Änderungen dieser
Errichtungserklärung</w:t>
      </w:r>
    </w:p>
    <w:p>
      <w:pPr>
        <w:widowControl w:val="on"/>
        <w:pBdr/>
        <w:spacing w:before="140" w:after="240" w:line="288" w:lineRule="auto"/>
        <w:ind w:left="0" w:right="0"/>
        <w:jc w:val="left"/>
      </w:pPr>
      <w:r>
        <w:rPr>
          <w:rFonts w:ascii="Arial" w:hAnsi="Arial" w:eastAsia="Arial" w:cs="Arial"/>
          <w:color w:val="000000"/>
          <w:sz w:val="20"/>
          <w:szCs w:val="20"/>
        </w:rPr>
        <w:t xml:space="preserve">Herr Doktor …, öffentlicher Notar, mit dem Sitz in …, wird vom
Alleingesellschafter ermächtigt, namens desselben allfällige zur
Durchführung der Eintragung der Gesellschaft vom Handelsgericht
geforderte Änderungen dieser Errichtungserklärung in notarieller
Form vorzunehmen und alle zum Zwecke der Gründung und Eintragung
der Gesellschaft etwa notwendigen Nachtragserklärungen in einfacher
oder notarieller Form abzugeben sowie die diesbezüglichen Eingaben
an das Firmenbuch zu unterfertigen.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Einundzwanzigstens: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 erklärt ihre ausdrückliche Einwilligung, dass
von diesem Notariatsakt einem jeden Beteiligten sowie der
Gesellschaft selbst und allen zukünftigen Gesellschaftern und
Geschäftsführern jederzeit auch wiederholte Ausfertigungen, jeweils
auf Kosten des Verlangenden, erteilt werden können.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Zweiundzwanzigstens: Elektronische
Registrierung und Freigabe</w:t>
      </w:r>
    </w:p>
    <w:p>
      <w:pPr>
        <w:widowControl w:val="on"/>
        <w:pBdr/>
        <w:spacing w:before="140" w:after="240" w:line="288" w:lineRule="auto"/>
        <w:ind w:left="0" w:right="0"/>
        <w:jc w:val="left"/>
      </w:pPr>
      <w:r>
        <w:rPr>
          <w:rFonts w:ascii="Arial" w:hAnsi="Arial" w:eastAsia="Arial" w:cs="Arial"/>
          <w:color w:val="000000"/>
          <w:sz w:val="20"/>
          <w:szCs w:val="20"/>
        </w:rPr>
        <w:t xml:space="preserve">Die Partei nimmt zur Kenntnis und erteilt gleichzeitig ihre
ausdrückliche Zustimmung, dass der gesamte Inhalt dieser Urkunde
gemäß den Bestimmungen der Notariatsordnung und den
dementsprechenden Richtlinien als elektronische Urkunde an das
Urkundenarchiv des Österreichischen Notariats übermittelt und dort
gespeichert wird und dass aufgrund entsprechender gesetzlicher
Regelungen und Abkommen den Gerichten, Verwaltungs- und
insbesondere Abgabenbehörden lesender Zugriff auf die im
Urkundenarchiv abgelegten Daten gestattet werden kann
beziehungsweise nach Maßgabe der gesetzlichen Regelungen zu
gestatten ist.</w:t>
      </w:r>
    </w:p>
    <w:p>
      <w:pPr>
        <w:widowControl w:val="on"/>
        <w:pBdr/>
        <w:spacing w:before="140" w:after="240" w:line="288" w:lineRule="auto"/>
        <w:ind w:left="0" w:right="0"/>
        <w:jc w:val="left"/>
      </w:pPr>
      <w:r>
        <w:rPr>
          <w:rFonts w:ascii="Arial" w:hAnsi="Arial" w:eastAsia="Arial" w:cs="Arial"/>
          <w:color w:val="000000"/>
          <w:sz w:val="20"/>
          <w:szCs w:val="20"/>
        </w:rPr>
        <w:t xml:space="preserve">Weiteres erklärt sich der Endesgefertigte ausdrücklich damit
einverstanden, dass die personenbezogenen Daten zum Zweck der
vorgenannten Registrierung gespeichert und verarbeitet werden.</w:t>
      </w:r>
    </w:p>
    <w:p>
      <w:pPr>
        <w:widowControl w:val="on"/>
        <w:pBdr/>
        <w:spacing w:before="140" w:after="240" w:line="288" w:lineRule="auto"/>
        <w:ind w:left="0" w:right="0"/>
        <w:jc w:val="left"/>
      </w:pPr>
      <w:r>
        <w:rPr>
          <w:rFonts w:ascii="Arial" w:hAnsi="Arial" w:eastAsia="Arial" w:cs="Arial"/>
          <w:color w:val="000000"/>
          <w:sz w:val="20"/>
          <w:szCs w:val="20"/>
        </w:rPr>
        <w:t xml:space="preserve">Hierüber wurde dieser Notariatsakt aufgenommen, dem Erschienenen
vorgelesen, von ihm als seinen Willen vollkommen entsprechend
genehmigt und sohin von ihm vor mir, Notar, eigenhändig
unterschrieben.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0103987" w:name="note1"/>
            <w:bookmarkEnd w:id="40103987"/>
            <w:bookmarkStart w:id="9494736462384" w:name="note1"/>
            <w:r>
              <w:rPr>
                <w:rFonts w:ascii="Arial" w:hAnsi="Arial" w:eastAsia="Arial" w:cs="Arial"/>
                <w:b/>
                <w:bCs/>
                <w:color w:val="000000"/>
                <w:position w:val="0"/>
                <w:sz w:val="20"/>
                <w:szCs w:val="20"/>
              </w:rPr>
              <w:t xml:space="preserve">[1]</w:t>
            </w:r>
            <w:bookmarkEnd w:id="949473646238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Sacheinlagen:</w:t>
            </w:r>
            <w:r>
              <w:rPr>
                <w:rFonts w:ascii="Arial" w:hAnsi="Arial" w:eastAsia="Arial" w:cs="Arial"/>
                <w:color w:val="000000"/>
                <w:position w:val="0"/>
                <w:sz w:val="20"/>
                <w:szCs w:val="20"/>
              </w:rPr>
              <w:t xml:space="preserve"> Leistungen auf Stammeinlagen in
Form von Sacheinlagen sind nur aufgrund entsprechender Regelung im
Gesellschaftsvertrag auf die Einlageverpflichtung anrechenbar.
Dabei sind der Gegenstand der Sacheinlage, ihr Geldwert, die Person
des Einbringenden und allenfalls gewährte besondere Begünstigungen
festzulegen. Enthält der Gesellschaftsvertrag keine
dementsprechenden Bestimmungen oder wird keine Regelung in den
Gesellschaftsvertrag aufgenommen, gewähren Sacheinlagen dem
einbringenden Gesellschafter keine Befreiung von seiner
Einlageverpflichtung (§ 63 Abs 5 GmbHG).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2 Abs 3 GmbHG stellt in diesem Zusammenhang
ergänzend klar, dass Verpflichtungen aus Vereinbarungen über
Sacheinlagen von der entstandenen GmbH nicht übernommen werden
können. Die Sacheinlagevereinbarung muss im Gesellschaftsvertrag
getroffen werden und bindet in diesem Fall auch die GmbH; fehlt
eine Regelung im Gesellschaftsvertrag, kann die GmbH dieses Manko
nicht nach ihrer Eintragung durch Übernahme von Verpflichtungen aus
der Sacheinlagevereinbarung sanieren. Diese Regelung dient va dem
Gläubigerschutz.</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Ist einmal im Gesellschaftsvertrag eine
Barleistungsverpflichtung begründet, kann diese auch nicht durch
nachträgliche Abänderung des Gesellschaftsvertrages in eine
Sacheinlagenverpflichtung umgewandelt werden (NZ 1982, 41).</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494170" w:name="note2"/>
            <w:bookmarkEnd w:id="15494170"/>
            <w:bookmarkStart w:id="572322077646" w:name="note2"/>
            <w:r>
              <w:rPr>
                <w:rFonts w:ascii="Arial" w:hAnsi="Arial" w:eastAsia="Arial" w:cs="Arial"/>
                <w:b/>
                <w:bCs/>
                <w:color w:val="000000"/>
                <w:position w:val="0"/>
                <w:sz w:val="20"/>
                <w:szCs w:val="20"/>
              </w:rPr>
              <w:t xml:space="preserve">[2]</w:t>
            </w:r>
            <w:bookmarkEnd w:id="57232207764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Einbringungen</w:t>
            </w:r>
            <w:r>
              <w:rPr>
                <w:rFonts w:ascii="Arial" w:hAnsi="Arial" w:eastAsia="Arial" w:cs="Arial"/>
                <w:color w:val="000000"/>
                <w:position w:val="0"/>
                <w:sz w:val="20"/>
                <w:szCs w:val="20"/>
              </w:rPr>
              <w:t xml:space="preserve"> iSd UmgrStG erfolgen
grundsätzlich (zu den Ausnahmen s § 19 Abs 2 UmgrStG)
gegen Gewährung von Anteilen an der übernehmenden Körperschaft
(insofern ist insbesondere bei der Gründung mit Sacheinlagen eine
Festlegung im Gesellschaftsvertrag notwendig). Die Tatsache, dass
die übernehmende Körperschaft (GmbH) erst mit ihrer Eintragung im
Firmenbuch entsteht, hindert die Anwendbarkeit des UmgrStG in
diesem Zusammenhang nicht. Der Gesellschaftsvertrag ersetzt bei der
Sachgründung den nach dem UmgrStG erforderlichen
Einbringungsvertrag.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Ungeachtet der Möglichkeit zur Einbringung, insbesondere von
Unternehmen im Rahmen der GmbH-Gründung, erfolgt diese in der
Praxis überwiegend in eine bereits bestehende GmbH oder in eine
GmbH, die (meist zeitlich kurz davor) im Wege einer Bargründung
errichtet wird. Der Grund dafür liegt darin, dass man die Anwendung
der Vorschriften über die Sachgründung vermeiden will.</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4962405" w:name="note3"/>
            <w:bookmarkEnd w:id="34962405"/>
            <w:bookmarkStart w:id="9411093568613" w:name="note3"/>
            <w:r>
              <w:rPr>
                <w:rFonts w:ascii="Arial" w:hAnsi="Arial" w:eastAsia="Arial" w:cs="Arial"/>
                <w:b/>
                <w:bCs/>
                <w:color w:val="000000"/>
                <w:position w:val="0"/>
                <w:sz w:val="20"/>
                <w:szCs w:val="20"/>
              </w:rPr>
              <w:t xml:space="preserve">[3]</w:t>
            </w:r>
            <w:bookmarkEnd w:id="94110935686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Sacheinlagevereinbarung</w:t>
            </w:r>
            <w:r>
              <w:rPr>
                <w:rFonts w:ascii="Arial" w:hAnsi="Arial" w:eastAsia="Arial" w:cs="Arial"/>
                <w:color w:val="000000"/>
                <w:position w:val="0"/>
                <w:sz w:val="20"/>
                <w:szCs w:val="20"/>
              </w:rPr>
              <w:t xml:space="preserve"> begründet die
Verpflichtung des GmbH-Gesellschafters, das einzubringende Vermögen
zu übertragen. Der (zwingende) Inhalt der Sacheinlagevereinbarung
ist in § 6 Abs 4 GmbHG geregelt: Soll einem
Gesellschafter die Vergütung für Vermögensgegenstände, die von der
Gesellschaft übernommen werden, auf die Stammeinlage angerechnet
werden, so sind</w:t>
            </w:r>
          </w:p>
          <w:p>
            <w:pPr>
              <w:numPr>
                <w:ilvl w:val="0"/>
                <w:numId w:val="97884121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Person des Gesellschafters,</w:t>
            </w:r>
          </w:p>
          <w:p>
            <w:pPr>
              <w:numPr>
                <w:ilvl w:val="0"/>
                <w:numId w:val="97884121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Gegenstand der Übernahme,</w:t>
            </w:r>
          </w:p>
          <w:p>
            <w:pPr>
              <w:numPr>
                <w:ilvl w:val="0"/>
                <w:numId w:val="97884121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Geldwert, wofür die Vermögensgegenstände übernommen werden
(Festsetzung eines Euro-Betrages) und</w:t>
            </w:r>
          </w:p>
          <w:p>
            <w:pPr>
              <w:numPr>
                <w:ilvl w:val="0"/>
                <w:numId w:val="97884121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besonders eingeräumten Begünstigungen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Gesellschaftsvertrag im Einzelnen genau und vollständig
festzusetzen (sodass eine Kontrolle und Beurteilung des Vermögens
der Gesellschaft leicht möglich ist). Bei Sachgesamtheiten, insb
bei der Einbringung eines Unternehmens oder eines Betriebes,
begnügt sich die Judikatur allerdings bereits mit einer
Gesamtbezeichnung, die eine Identifizierung zulässt.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die Bewertung von Sacheinlagen stellt das GmbHG keine Regeln
auf. Aus den Bestimmungen über die Kapitalaufbringung, die vor
allem auch dem Gläubigerschutz dienen, ist aber abzuleiten, dass
der wirkliche Wert der einzubringenden Sachen zu ermitteln und
anzusetzen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den allgemeinen Kriterien der Einlagefähigkeit einer Sache
gehört, dass diese einen bilanz- bzw aktivierungsfähigen
Vermögenswert darstellt. Als Sacheinlage kommen
Vermögensgegenstände ferner nur dann in Betracht, wenn sie
übertragbar in dem Sinne sind, dass sie als Zugriffsobjekt für
Gläubiger der Gesellschaft zur Verfügung stehen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³, GmbHG, Rz 15 zu § 6).</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Demgemäß kann eine Liegenschaft, auf der ein Belastungs- und
Veräußerungsverbot haftet, nur Gegenstand einer Sacheinlage werden,
wenn der Begünstigte mitwirkt (wbl 1993, 159). Lastet hingegen ein
Vorkaufsrecht auf der Liegenschaft, bildet die Einbringung selbst
keinen Vorkaufsfall und das Vorkaufsrecht bleibt überdies unberührt
bestehen.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5381481" w:name="note4"/>
            <w:bookmarkEnd w:id="95381481"/>
            <w:bookmarkStart w:id="3116567823186" w:name="note4"/>
            <w:r>
              <w:rPr>
                <w:rFonts w:ascii="Arial" w:hAnsi="Arial" w:eastAsia="Arial" w:cs="Arial"/>
                <w:b/>
                <w:bCs/>
                <w:color w:val="000000"/>
                <w:position w:val="0"/>
                <w:sz w:val="20"/>
                <w:szCs w:val="20"/>
              </w:rPr>
              <w:t xml:space="preserve">[4]</w:t>
            </w:r>
            <w:bookmarkEnd w:id="311656782318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Gegenstand der Sacheinlage kann alles sein, was einen
selbstständigen Vermögenswert besitzt, im Rechtsverkehr steht und
dessen wirtschaftlicher Wert auch feststellbar ist (1 Ob
253/03t):</w:t>
            </w:r>
          </w:p>
          <w:p>
            <w:pPr>
              <w:numPr>
                <w:ilvl w:val="0"/>
                <w:numId w:val="31142963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Unternehmen</w:t>
            </w:r>
          </w:p>
          <w:p>
            <w:pPr>
              <w:numPr>
                <w:ilvl w:val="0"/>
                <w:numId w:val="31142963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Körperliche bewegliche und unbewegliche Sachen</w:t>
            </w:r>
          </w:p>
          <w:p>
            <w:pPr>
              <w:numPr>
                <w:ilvl w:val="0"/>
                <w:numId w:val="31142963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Forderungen, wobei der Rechtsgrund anzugeben ist</w:t>
            </w:r>
          </w:p>
          <w:p>
            <w:pPr>
              <w:numPr>
                <w:ilvl w:val="0"/>
                <w:numId w:val="31142963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Übertragbare Mietrechte</w:t>
            </w:r>
          </w:p>
          <w:p>
            <w:pPr>
              <w:numPr>
                <w:ilvl w:val="0"/>
                <w:numId w:val="31142963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Immaterielle Rechte, unter der Voraussetzung, dass sie
übertragbar sind und als Aktiva in die Bilanz aufgenommen werden
können</w:t>
            </w:r>
          </w:p>
          <w:p>
            <w:pPr>
              <w:numPr>
                <w:ilvl w:val="0"/>
                <w:numId w:val="31142963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Erfindungen, die nicht patentrechtlich geschützt sind, wenn sie
nur durch ein Fabrikationsgeheimnis geschützt werden und einen
Vermögenswert darstellen, der als Sacheinlage eingebracht werden
kann</w:t>
            </w:r>
          </w:p>
          <w:p>
            <w:pPr>
              <w:numPr>
                <w:ilvl w:val="0"/>
                <w:numId w:val="31142963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Patentrechte, auch dann, wenn bloß die Patentanmeldung vorliegt
und das Patent noch nicht erteilt ist sowie andere
Immaterialgüterrechte</w:t>
            </w:r>
          </w:p>
          <w:p>
            <w:pPr>
              <w:numPr>
                <w:ilvl w:val="0"/>
                <w:numId w:val="31142963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Gesellschafterforderungen gegen die GmbH, falls ihre
Aufrechnung im Einzelfall zulässig ist</w:t>
            </w:r>
          </w:p>
          <w:p>
            <w:pPr>
              <w:numPr>
                <w:ilvl w:val="0"/>
                <w:numId w:val="31142963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Liegenschaften (siehe dazu </w:t>
            </w:r>
            <w:r>
              <w:rPr>
                <w:rFonts w:ascii="Arial" w:hAnsi="Arial" w:eastAsia="Arial" w:cs="Arial"/>
                <w:i/>
                <w:iCs/>
                <w:color w:val="000000"/>
                <w:position w:val="0"/>
                <w:sz w:val="20"/>
                <w:szCs w:val="20"/>
              </w:rPr>
              <w:t xml:space="preserve">Umfahrer</w:t>
            </w:r>
            <w:r>
              <w:rPr>
                <w:rFonts w:ascii="Arial" w:hAnsi="Arial" w:eastAsia="Arial" w:cs="Arial"/>
                <w:color w:val="000000"/>
                <w:position w:val="0"/>
                <w:sz w:val="20"/>
                <w:szCs w:val="20"/>
              </w:rPr>
              <w:t xml:space="preserve">, GmbH</w:t>
            </w:r>
            <w:r>
              <w:rPr>
                <w:rFonts w:ascii="Arial" w:hAnsi="Arial" w:eastAsia="Arial" w:cs="Arial"/>
                <w:color w:val="000000"/>
                <w:position w:val="3"/>
                <w:sz w:val="18"/>
                <w:szCs w:val="18"/>
                <w:vertAlign w:val="superscript"/>
              </w:rPr>
              <w:t xml:space="preserve">7</w:t>
            </w:r>
            <w:r>
              <w:rPr>
                <w:rFonts w:ascii="Arial" w:hAnsi="Arial" w:eastAsia="Arial" w:cs="Arial"/>
                <w:color w:val="000000"/>
                <w:position w:val="0"/>
                <w:sz w:val="20"/>
                <w:szCs w:val="20"/>
              </w:rPr>
              <w:t xml:space="preserve">
Kap 3 [Stand 01.06.2021, rdb.at];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Koppensteiner/Rüffler</w:t>
            </w:r>
            <w:r>
              <w:rPr>
                <w:rFonts w:ascii="Arial" w:hAnsi="Arial" w:eastAsia="Arial" w:cs="Arial"/>
                <w:color w:val="000000"/>
                <w:position w:val="0"/>
                <w:sz w:val="20"/>
                <w:szCs w:val="20"/>
              </w:rPr>
              <w:t xml:space="preserve">, GmbHG § 6 Rz 15)</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Dagegen kommen nicht als Gegenstand einer Sacheinlage in
Betracht:</w:t>
            </w:r>
          </w:p>
          <w:p>
            <w:pPr>
              <w:numPr>
                <w:ilvl w:val="0"/>
                <w:numId w:val="23516309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Höchstpersönliche oder unübertragbare Rechte</w:t>
            </w:r>
          </w:p>
          <w:p>
            <w:pPr>
              <w:numPr>
                <w:ilvl w:val="0"/>
                <w:numId w:val="23516309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Dienstleistungen</w:t>
            </w:r>
          </w:p>
          <w:p>
            <w:pPr>
              <w:numPr>
                <w:ilvl w:val="0"/>
                <w:numId w:val="23516309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Forderungen gegen den Sacheinleger selbst</w:t>
            </w:r>
          </w:p>
          <w:p>
            <w:pPr>
              <w:numPr>
                <w:ilvl w:val="0"/>
                <w:numId w:val="235163097"/>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Genossenschaftsanteile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Damit allerdings die Begünstigungen des
Umgründungssteuergesetzes in Anspruch genommen werden können, muss
die Einlage in einem Betrieb, Teilbetrieb, Mitunternehmeranteil
oder einem Kapitalanteil iSv § 12 UmgrStG bestehen.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Gründungseinbringung hat eine Zustimmung sämtlicher
Gründungsgesellschafter vorzuliegen, die in der Unterfertigung des
Gesellschaftsvertrages zum Ausdruck gebracht wird.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Gesellschaftsvertrag, der die Einbringungsverpflichtung des
Gesellschafters enthalten muss (wenn die Sacheinlage auf die
Stammeinlage angerechnet werden soll), ist bei der Gründung der
GmbH in Notariatsaktsform abzuschließen.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Einbringung eines Betriebes als Sacheinlage in eine neu
gegründete GmbH gegen Gewährung von Gesellschaftsanteilen sind die
zwingenden Vorschriften über die Sachgründung (§ 6a GmbHG),
das Verbot der Einlagenrückgewähr (§ 82 Abs 1 GmbHG) und
das Verbot des Erwerbs eigener Geschäftsanteile (§ 81 GmbHG)
zu prüfen. Die Einbringung ohne Gegenleistung nach § 19
Abs 2 Z 5 UmgrStG ist keine Sacheinlage. Da die Zuwendung
unentgeltlich erfolgt, ist die Einbringung schon deshalb
unproblematisch, weil die übertragende Gesellschaft aufgrund ihrer
unmittelbaren oder mittelbaren Beteiligung an der übernehmenden
Gesellschaft keine Vermögenseinbußen erleidet, wie dies bei der
„Downstream-Einbringung“ der Fall ist. Die Aufgabe des Eigentums am
eingebrachten Betrieb wird durch die Erhöhung des Werts der
Beteiligung an der übernehmenden Gesellschaft ausgeglichen. Eine
Einlagenrückgewähr erfolgt nicht. Den Gläubigern wird weder
Haftungsvermögen noch der Schuldner entzogen (vgl OGH 17 Ob
13/21t).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7456034" w:name="note5"/>
            <w:bookmarkEnd w:id="37456034"/>
            <w:bookmarkStart w:id="5188500862243" w:name="note5"/>
            <w:r>
              <w:rPr>
                <w:rFonts w:ascii="Arial" w:hAnsi="Arial" w:eastAsia="Arial" w:cs="Arial"/>
                <w:b/>
                <w:bCs/>
                <w:color w:val="000000"/>
                <w:position w:val="0"/>
                <w:sz w:val="20"/>
                <w:szCs w:val="20"/>
              </w:rPr>
              <w:t xml:space="preserve">[5]</w:t>
            </w:r>
            <w:bookmarkEnd w:id="518850086224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Beschränkungen für Sacheinlagen:</w:t>
            </w:r>
            <w:r>
              <w:rPr>
                <w:rFonts w:ascii="Arial" w:hAnsi="Arial" w:eastAsia="Arial" w:cs="Arial"/>
                <w:color w:val="000000"/>
                <w:position w:val="0"/>
                <w:sz w:val="20"/>
                <w:szCs w:val="20"/>
              </w:rPr>
              <w:t xml:space="preserve"> Grundsätzlich
muss mindestens die </w:t>
            </w:r>
            <w:r>
              <w:rPr>
                <w:rFonts w:ascii="Arial" w:hAnsi="Arial" w:eastAsia="Arial" w:cs="Arial"/>
                <w:b/>
                <w:bCs/>
                <w:color w:val="000000"/>
                <w:position w:val="0"/>
                <w:sz w:val="20"/>
                <w:szCs w:val="20"/>
              </w:rPr>
              <w:t xml:space="preserve">Hälfte des Stammkapitals</w:t>
            </w:r>
            <w:r>
              <w:rPr>
                <w:rFonts w:ascii="Arial" w:hAnsi="Arial" w:eastAsia="Arial" w:cs="Arial"/>
                <w:color w:val="000000"/>
                <w:position w:val="0"/>
                <w:sz w:val="20"/>
                <w:szCs w:val="20"/>
              </w:rPr>
              <w:t xml:space="preserve"> einer
Gesellschaft mit beschränkter Haftung </w:t>
            </w:r>
            <w:r>
              <w:rPr>
                <w:rFonts w:ascii="Arial" w:hAnsi="Arial" w:eastAsia="Arial" w:cs="Arial"/>
                <w:b/>
                <w:bCs/>
                <w:color w:val="000000"/>
                <w:position w:val="0"/>
                <w:sz w:val="20"/>
                <w:szCs w:val="20"/>
              </w:rPr>
              <w:t xml:space="preserve">durch bar zu
leistende Stammeinlagen</w:t>
            </w:r>
            <w:r>
              <w:rPr>
                <w:rFonts w:ascii="Arial" w:hAnsi="Arial" w:eastAsia="Arial" w:cs="Arial"/>
                <w:color w:val="000000"/>
                <w:position w:val="0"/>
                <w:sz w:val="20"/>
                <w:szCs w:val="20"/>
              </w:rPr>
              <w:t xml:space="preserve"> voll aufgebracht werden (§ 6a
Abs 1 GmbHG). Dieses Erfordernis bezieht sich auf das
(Gesamt-)Stammkapital und nicht auf die einzelne Stammeinlage.
Demgemäß ist es zB zulässig, dass bei einer GmbH mit Stammkapital
EUR 35.000,–, die zwei Gründungsgesellschafter hat, ein
Gesellschafter EUR 17.500,– bar einlegt und der zweite
Gesellschafter ein Unternehmen im gleichen Wert als Sacheinlage
einbringt. Beläuft sich das Stammkapital auf den aktuellen
Mindestbetrag von EUR 10.000,–, sind EUR 5.000,– bar
einzubezahlen.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Vom Prinzip der „Hälfteklausel“ bestehen folgende Ausnahmen:</w:t>
            </w:r>
          </w:p>
          <w:p>
            <w:pPr>
              <w:numPr>
                <w:ilvl w:val="0"/>
                <w:numId w:val="44967799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Fortführung eines seit mehr als fünf Jahren bestehenden
Unternehmens</w:t>
            </w:r>
          </w:p>
          <w:p>
            <w:pPr>
              <w:numPr>
                <w:ilvl w:val="0"/>
                <w:numId w:val="44967799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Fortführung mehrerer solcher Unternehmen</w:t>
            </w:r>
          </w:p>
          <w:p>
            <w:pPr>
              <w:numPr>
                <w:ilvl w:val="0"/>
                <w:numId w:val="44967799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Es werden die aktienrechtlichen Gründungsvorschriften
eingehalten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Vorliegen der folgenden Voraussetzung darf (sogar) das
gesamte Stammkapital durch Sacheinlage(n) aufgebracht werden,
sofern das Stammkapital durch den Wert des eingebrachten Vermögens
gedeckt wird:</w:t>
            </w:r>
          </w:p>
          <w:p>
            <w:pPr>
              <w:numPr>
                <w:ilvl w:val="0"/>
                <w:numId w:val="56294597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Sacheinlage besteht in einem </w:t>
            </w:r>
            <w:r>
              <w:rPr>
                <w:rFonts w:ascii="Arial" w:hAnsi="Arial" w:eastAsia="Arial" w:cs="Arial"/>
                <w:b/>
                <w:bCs/>
                <w:color w:val="000000"/>
                <w:position w:val="0"/>
                <w:sz w:val="20"/>
                <w:szCs w:val="20"/>
              </w:rPr>
              <w:t xml:space="preserve">seit mindestens fünf
Jahren bestehenden Unternehmen</w:t>
            </w:r>
            <w:r>
              <w:rPr>
                <w:rFonts w:ascii="Arial" w:hAnsi="Arial" w:eastAsia="Arial" w:cs="Arial"/>
                <w:color w:val="000000"/>
                <w:position w:val="0"/>
                <w:sz w:val="20"/>
                <w:szCs w:val="20"/>
              </w:rPr>
              <w:t xml:space="preserve">. Es kommt dabei nicht
darauf an, ob das Unternehmen während der letzten fünf Jahre
ununterbrochen denselben Rechtsträger hatte. Ob die Bestimmung auch
im Fall der Fortführung eines Unternehmensteiles (Betriebes oder
Teilbetriebes) anzuwenden ist, ist zweifelhaft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³, GmbHG, Rz 8 zu § 6a).</w:t>
            </w:r>
          </w:p>
          <w:p>
            <w:pPr>
              <w:numPr>
                <w:ilvl w:val="0"/>
                <w:numId w:val="56294597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w:t>
            </w:r>
            <w:r>
              <w:rPr>
                <w:rFonts w:ascii="Arial" w:hAnsi="Arial" w:eastAsia="Arial" w:cs="Arial"/>
                <w:b/>
                <w:bCs/>
                <w:color w:val="000000"/>
                <w:position w:val="0"/>
                <w:sz w:val="20"/>
                <w:szCs w:val="20"/>
              </w:rPr>
              <w:t xml:space="preserve">Tätigkeitsfeld</w:t>
            </w:r>
            <w:r>
              <w:rPr>
                <w:rFonts w:ascii="Arial" w:hAnsi="Arial" w:eastAsia="Arial" w:cs="Arial"/>
                <w:color w:val="000000"/>
                <w:position w:val="0"/>
                <w:sz w:val="20"/>
                <w:szCs w:val="20"/>
              </w:rPr>
              <w:t xml:space="preserve"> der GmbH besteht (zumindest
zunächst) </w:t>
            </w:r>
            <w:r>
              <w:rPr>
                <w:rFonts w:ascii="Arial" w:hAnsi="Arial" w:eastAsia="Arial" w:cs="Arial"/>
                <w:b/>
                <w:bCs/>
                <w:color w:val="000000"/>
                <w:position w:val="0"/>
                <w:sz w:val="20"/>
                <w:szCs w:val="20"/>
              </w:rPr>
              <w:t xml:space="preserve">ausschließlich</w:t>
            </w:r>
            <w:r>
              <w:rPr>
                <w:rFonts w:ascii="Arial" w:hAnsi="Arial" w:eastAsia="Arial" w:cs="Arial"/>
                <w:color w:val="000000"/>
                <w:position w:val="0"/>
                <w:sz w:val="20"/>
                <w:szCs w:val="20"/>
              </w:rPr>
              <w:t xml:space="preserve"> darin, </w:t>
            </w:r>
            <w:r>
              <w:rPr>
                <w:rFonts w:ascii="Arial" w:hAnsi="Arial" w:eastAsia="Arial" w:cs="Arial"/>
                <w:b/>
                <w:bCs/>
                <w:color w:val="000000"/>
                <w:position w:val="0"/>
                <w:sz w:val="20"/>
                <w:szCs w:val="20"/>
              </w:rPr>
              <w:t xml:space="preserve">das
vorhandene Unternehmen fortzuführen</w:t>
            </w:r>
            <w:r>
              <w:rPr>
                <w:rFonts w:ascii="Arial" w:hAnsi="Arial" w:eastAsia="Arial" w:cs="Arial"/>
                <w:color w:val="000000"/>
                <w:position w:val="0"/>
                <w:sz w:val="20"/>
                <w:szCs w:val="20"/>
              </w:rPr>
              <w:t xml:space="preserve">.</w:t>
            </w:r>
          </w:p>
          <w:p>
            <w:pPr>
              <w:numPr>
                <w:ilvl w:val="0"/>
                <w:numId w:val="562945976"/>
              </w:numPr>
              <w:spacing w:before="0" w:after="0" w:line="288" w:lineRule="auto"/>
              <w:jc w:val="left"/>
              <w:rPr>
                <w:rFonts w:ascii="Arial" w:hAnsi="Arial" w:eastAsia="Arial" w:cs="Arial"/>
                <w:color w:val="000000"/>
                <w:sz w:val="20"/>
                <w:szCs w:val="20"/>
              </w:rPr>
            </w:pPr>
            <w:r>
              <w:rPr>
                <w:rFonts w:ascii="Arial" w:hAnsi="Arial" w:eastAsia="Arial" w:cs="Arial"/>
                <w:b/>
                <w:bCs/>
                <w:color w:val="000000"/>
                <w:position w:val="0"/>
                <w:sz w:val="20"/>
                <w:szCs w:val="20"/>
              </w:rPr>
              <w:t xml:space="preserve">Gesellschafter der neu errichteten GmbH</w:t>
            </w:r>
            <w:r>
              <w:rPr>
                <w:rFonts w:ascii="Arial" w:hAnsi="Arial" w:eastAsia="Arial" w:cs="Arial"/>
                <w:color w:val="000000"/>
                <w:position w:val="0"/>
                <w:sz w:val="20"/>
                <w:szCs w:val="20"/>
              </w:rPr>
              <w:t xml:space="preserve"> sind
ausschließlich: der/die (Mit-)Inhaber des einzubringenden
Unternehmens und/oder deren Ehegatten und/oder Kinder
einschließlich Stief-, Wahl- und Schwiegerkinder. Wird die
Gesellschaft erst nach dem Tod des Inhabers (Mitinhabers)
errichtet, so stehen den erwähnten nahen Angehörigen sonstige zum
Nachlass des bisherigen Inhabers (Mitinhabers) berufene Personen
gleich.</w:t>
            </w:r>
          </w:p>
          <w:p>
            <w:pPr>
              <w:numPr>
                <w:ilvl w:val="0"/>
                <w:numId w:val="56294597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Einbringender kann entweder eine natürliche Person oder eine
Personengesellschaft des Handelsrechtes sein.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Sind diese Voraussetzungen erfüllt, kommt die „Hälfteklausel“
nur für denjenigen Teil des Stammkapitals zur Anwendung, der in
anderer Weise als durch die Anrechnung des Unternehmens auf die
Stammeinlagen der erwähnten Gesellschafter aufgebracht wird
(§ 6a Abs 2 GmbHG).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der Bewertung des einzubringenden Unternehmens sind die
zukünftigen Gesellschafter nicht frei; Überbewertung ist
unzulässig.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Sacheinlagebestimmungen über die Fortführung eines seit
mindestens fünf Jahren bestehenden Unternehmens finden sinngemäß
Anwendung, wenn eine GmbH zum ausschließlichen Zweck der
Fortführung zweier oder mehrerer Unternehmen errichtet wird
(§ 6a Abs 3 GmbHG).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Hälfteklausel des § 6a Abs 1GmbHG gilt auch dann
nicht, wenn den aktienrechtlichen Vorschriften über die Gründung
mit Sacheinlagen entsprochen wird (§ 6a Abs 4 GmbHG).
Konkret bedeutet dies, dass reine Sachgründungen ohne
gegenständliche Beschränkungen möglich sind, sofern die (unter
Bedachtnahme auf § 271 Abs 2–4 UGB) sinngemäß
anzuwendenden Bestimmungen der §§ 20, 24–27, 29 Abs 2 und
4, 39–44 sowie § 25 Abs 4 AktG erfüllt sind.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Kurz zusammengefasst bedeuten diese Erfordernisse:</w:t>
            </w:r>
          </w:p>
          <w:p>
            <w:pPr>
              <w:numPr>
                <w:ilvl w:val="0"/>
                <w:numId w:val="46952212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Gesellschafter</w:t>
            </w:r>
            <w:r>
              <w:rPr>
                <w:rFonts w:ascii="Arial" w:hAnsi="Arial" w:eastAsia="Arial" w:cs="Arial"/>
                <w:color w:val="000000"/>
                <w:position w:val="0"/>
                <w:sz w:val="20"/>
                <w:szCs w:val="20"/>
              </w:rPr>
              <w:t xml:space="preserve"> haben einen
</w:t>
            </w:r>
            <w:r>
              <w:rPr>
                <w:rFonts w:ascii="Arial" w:hAnsi="Arial" w:eastAsia="Arial" w:cs="Arial"/>
                <w:b/>
                <w:bCs/>
                <w:color w:val="000000"/>
                <w:position w:val="0"/>
                <w:sz w:val="20"/>
                <w:szCs w:val="20"/>
              </w:rPr>
              <w:t xml:space="preserve">Gründungsbericht</w:t>
            </w:r>
            <w:r>
              <w:rPr>
                <w:rFonts w:ascii="Arial" w:hAnsi="Arial" w:eastAsia="Arial" w:cs="Arial"/>
                <w:color w:val="000000"/>
                <w:position w:val="0"/>
                <w:sz w:val="20"/>
                <w:szCs w:val="20"/>
              </w:rPr>
              <w:t xml:space="preserve"> zu erstatten, der sich mit der
Angemessenheit der Sacheinlageverpflichtung zu befassen hat.</w:t>
            </w:r>
          </w:p>
          <w:p>
            <w:pPr>
              <w:numPr>
                <w:ilvl w:val="0"/>
                <w:numId w:val="46952212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Der/die </w:t>
            </w:r>
            <w:r>
              <w:rPr>
                <w:rFonts w:ascii="Arial" w:hAnsi="Arial" w:eastAsia="Arial" w:cs="Arial"/>
                <w:b/>
                <w:bCs/>
                <w:color w:val="000000"/>
                <w:position w:val="0"/>
                <w:sz w:val="20"/>
                <w:szCs w:val="20"/>
              </w:rPr>
              <w:t xml:space="preserve">Geschäftsführer</w:t>
            </w:r>
            <w:r>
              <w:rPr>
                <w:rFonts w:ascii="Arial" w:hAnsi="Arial" w:eastAsia="Arial" w:cs="Arial"/>
                <w:color w:val="000000"/>
                <w:position w:val="0"/>
                <w:sz w:val="20"/>
                <w:szCs w:val="20"/>
              </w:rPr>
              <w:t xml:space="preserve"> (und falls vorhanden:
der Aufsichtsrat) haben den </w:t>
            </w:r>
            <w:r>
              <w:rPr>
                <w:rFonts w:ascii="Arial" w:hAnsi="Arial" w:eastAsia="Arial" w:cs="Arial"/>
                <w:b/>
                <w:bCs/>
                <w:color w:val="000000"/>
                <w:position w:val="0"/>
                <w:sz w:val="20"/>
                <w:szCs w:val="20"/>
              </w:rPr>
              <w:t xml:space="preserve">Hergang der Gründung</w:t>
            </w:r>
            <w:r>
              <w:rPr>
                <w:rFonts w:ascii="Arial" w:hAnsi="Arial" w:eastAsia="Arial" w:cs="Arial"/>
                <w:color w:val="000000"/>
                <w:position w:val="0"/>
                <w:sz w:val="20"/>
                <w:szCs w:val="20"/>
              </w:rPr>
              <w:t xml:space="preserve">
unter Einbeziehung des Gründungsberichtes zu
</w:t>
            </w:r>
            <w:r>
              <w:rPr>
                <w:rFonts w:ascii="Arial" w:hAnsi="Arial" w:eastAsia="Arial" w:cs="Arial"/>
                <w:b/>
                <w:bCs/>
                <w:color w:val="000000"/>
                <w:position w:val="0"/>
                <w:sz w:val="20"/>
                <w:szCs w:val="20"/>
              </w:rPr>
              <w:t xml:space="preserve">prüfen</w:t>
            </w:r>
            <w:r>
              <w:rPr>
                <w:rFonts w:ascii="Arial" w:hAnsi="Arial" w:eastAsia="Arial" w:cs="Arial"/>
                <w:color w:val="000000"/>
                <w:position w:val="0"/>
                <w:sz w:val="20"/>
                <w:szCs w:val="20"/>
              </w:rPr>
              <w:t xml:space="preserve">.</w:t>
            </w:r>
          </w:p>
          <w:p>
            <w:pPr>
              <w:numPr>
                <w:ilvl w:val="0"/>
                <w:numId w:val="46952212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Ein vom Gericht zu bestellender </w:t>
            </w:r>
            <w:r>
              <w:rPr>
                <w:rFonts w:ascii="Arial" w:hAnsi="Arial" w:eastAsia="Arial" w:cs="Arial"/>
                <w:b/>
                <w:bCs/>
                <w:color w:val="000000"/>
                <w:position w:val="0"/>
                <w:sz w:val="20"/>
                <w:szCs w:val="20"/>
              </w:rPr>
              <w:t xml:space="preserve">sachverständiger
Prüfer</w:t>
            </w:r>
            <w:r>
              <w:rPr>
                <w:rFonts w:ascii="Arial" w:hAnsi="Arial" w:eastAsia="Arial" w:cs="Arial"/>
                <w:color w:val="000000"/>
                <w:position w:val="0"/>
                <w:sz w:val="20"/>
                <w:szCs w:val="20"/>
              </w:rPr>
              <w:t xml:space="preserve"> hat eine </w:t>
            </w:r>
            <w:r>
              <w:rPr>
                <w:rFonts w:ascii="Arial" w:hAnsi="Arial" w:eastAsia="Arial" w:cs="Arial"/>
                <w:b/>
                <w:bCs/>
                <w:color w:val="000000"/>
                <w:position w:val="0"/>
                <w:sz w:val="20"/>
                <w:szCs w:val="20"/>
              </w:rPr>
              <w:t xml:space="preserve">Gründungsprüfung</w:t>
            </w:r>
            <w:r>
              <w:rPr>
                <w:rFonts w:ascii="Arial" w:hAnsi="Arial" w:eastAsia="Arial" w:cs="Arial"/>
                <w:color w:val="000000"/>
                <w:position w:val="0"/>
                <w:sz w:val="20"/>
                <w:szCs w:val="20"/>
              </w:rPr>
              <w:t xml:space="preserve">
durchzuführen.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Gesellschafter einer GmbH auf Basis der § 6a
Abs 2–4 GmbHG (also bei Fortführung eines oder mehrerer
Unternehmen oder im Fall einer Gründungsprüfung) Sacheinlagen
einbringen, die wertmäßig die Hälfte des Stammkapitales
übersteigen, sind die bar aufzubringenden Stammeinlagen voll
einzuzahlen (§ 10 Abs 1 4. Satz GmbHG).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auf eine Stammeinlage weniger als EUR 70,– bar zu
leisten ist, muss diese voll einbezahlt werden. Dieser Fall kann
eintreten, wenn ein Gesellschafter auf eine Stammeinlage von
EUR 70,– zugleich Bar- und Sachwerte einbringt.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Einbringung von Kommanditanteilen aller Kommanditisten einer
Gesellschaft mbH &amp; Co KG in die Komplementärgesellschaft gegen
Übernahmen von Geschäftsanteilen kann eine zulässige Sacheinlage
sein. Diese Einbringung ist der Einbringung eines Unternehmens
gleichzuhalten. Wenn die übrigen Voraussetzungen des § 6a
Abs 2 GmbHG (Fortführung eines Unternehmens) vorliegen, ist
eine Gründungsprüfung nicht erforderlich. Die Einbringung
sämtlicher Kommanditanteile der Kommanditisten einer GmbH &amp; Co
KG in die Komplementärgesellschaft bewirkt Gesamtrechtsnachfolge
iSd § 142 UGB.</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Verbot des § 81 GmbHG, dass eine GmbH keine eigenen
Anteile erwerben darf und das Gebot der realen Kapitalaufbringung
stehen einer Einbringung der Kommanditanteile der KG in die
Komplementärgesellschaft dann nicht entgegen, wenn die GmbH reine
Arbeitsgesellschafterin ohne eigenen Kapitalanteil an der KG war (6
Ob 7/00y).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849083" w:name="note6"/>
            <w:bookmarkEnd w:id="74849083"/>
            <w:bookmarkStart w:id="1894786847341" w:name="note6"/>
            <w:r>
              <w:rPr>
                <w:rFonts w:ascii="Arial" w:hAnsi="Arial" w:eastAsia="Arial" w:cs="Arial"/>
                <w:b/>
                <w:bCs/>
                <w:color w:val="000000"/>
                <w:position w:val="0"/>
                <w:sz w:val="20"/>
                <w:szCs w:val="20"/>
              </w:rPr>
              <w:t xml:space="preserve">[6]</w:t>
            </w:r>
            <w:bookmarkEnd w:id="189478684734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Erfüllung der Sacheinlagenverpflichtung: Sacheinlagen
sind sofort und in vollem Umfang zu bewirken</w:t>
            </w:r>
            <w:r>
              <w:rPr>
                <w:rFonts w:ascii="Arial" w:hAnsi="Arial" w:eastAsia="Arial" w:cs="Arial"/>
                <w:color w:val="000000"/>
                <w:position w:val="0"/>
                <w:sz w:val="20"/>
                <w:szCs w:val="20"/>
              </w:rPr>
              <w:t xml:space="preserve"> (§ 10
Abs 1 letzter Satz GmbHG).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³, GmbHG, Rz 11 zu § 10) versteht
darunter, dass die Gesellschaft im Zeitpunkt der
Firmenbuchanmeldung in die entsprechende dingliche Berechtigung
eingerückt (und der Durchführungsmodus gesetzt) sein muss.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Ansicht ist problematisch, wenn es um die Einbringung von
Liegenschaften in eine zu gründende GmbH geht, weil bei
unbeweglichen Sachen die Eintragung im Grundbuch den erforderlichen
Modus darstellt. Die GmbH, die Eigentümer der Liegenschaft werden
soll, existiert zum Zeitpunkt der Firmenbuchanmeldung noch nicht,
sondern entsteht rechtlich erst mit ihrer Eintragung im Firmenbuch.
Muss daher tatsächlich der Modus bereits gesetzt sein, erscheint es
unmöglich, der Bestimmung des § 10 Abs 1 GmbHG im Falle
einer Sacheinlage von Liegenschaften entsprechen zu können.
</w:t>
            </w:r>
            <w:r>
              <w:rPr>
                <w:rFonts w:ascii="Arial" w:hAnsi="Arial" w:eastAsia="Arial" w:cs="Arial"/>
                <w:i/>
                <w:iCs/>
                <w:color w:val="000000"/>
                <w:position w:val="0"/>
                <w:sz w:val="20"/>
                <w:szCs w:val="20"/>
              </w:rPr>
              <w:t xml:space="preserve">Koppensteiner</w:t>
            </w:r>
            <w:r>
              <w:rPr>
                <w:rFonts w:ascii="Arial" w:hAnsi="Arial" w:eastAsia="Arial" w:cs="Arial"/>
                <w:color w:val="000000"/>
                <w:position w:val="0"/>
                <w:sz w:val="20"/>
                <w:szCs w:val="20"/>
              </w:rPr>
              <w:t xml:space="preserve"> verweist darauf, dass die Vorgesellschaft
bereits rechtsfähig sei. Konsequenterweise würde dies bedeuten,
dass die Vorgesellschaft als Eigentümerin im Grundbuch eingetragen
werden kann und muss, welche Ansicht der Autor nicht teilt.
Überdies wäre (so überhaupt möglich) die Einverleibung der GmbH in
Gründung im Grundbuch auch wenig praktikabel, weil nach deren
Eintragung im Grundbuch von der in Gründung befindlichen GmbH als
Eigentümerin auf die entstandene GmbH „umgestellt“ werden müsste.
Von Amts wegen würde dies nicht geschehen und wäre wohl auch mit
Kosten verbunden.</w:t>
            </w:r>
          </w:p>
          <w:p>
            <w:pPr>
              <w:widowControl w:val="on"/>
              <w:pBdr/>
              <w:spacing w:before="0" w:after="0" w:line="288" w:lineRule="auto"/>
              <w:ind w:left="0" w:right="0"/>
              <w:jc w:val="left"/>
              <w:textAlignment w:val="top"/>
            </w:pPr>
            <w:r>
              <w:rPr>
                <w:rFonts w:ascii="Arial" w:hAnsi="Arial" w:eastAsia="Arial" w:cs="Arial"/>
                <w:i/>
                <w:iCs/>
                <w:color w:val="000000"/>
                <w:position w:val="0"/>
                <w:sz w:val="20"/>
                <w:szCs w:val="20"/>
              </w:rPr>
              <w:t xml:space="preserve">Wünsch</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Wünsch</w:t>
            </w:r>
            <w:r>
              <w:rPr>
                <w:rFonts w:ascii="Arial" w:hAnsi="Arial" w:eastAsia="Arial" w:cs="Arial"/>
                <w:color w:val="000000"/>
                <w:position w:val="0"/>
                <w:sz w:val="20"/>
                <w:szCs w:val="20"/>
              </w:rPr>
              <w:t xml:space="preserve">, Kommentar zum GmbHG, Rz 8
zu § 10) und </w:t>
            </w:r>
            <w:r>
              <w:rPr>
                <w:rFonts w:ascii="Arial" w:hAnsi="Arial" w:eastAsia="Arial" w:cs="Arial"/>
                <w:i/>
                <w:iCs/>
                <w:color w:val="000000"/>
                <w:position w:val="0"/>
                <w:sz w:val="20"/>
                <w:szCs w:val="20"/>
              </w:rPr>
              <w:t xml:space="preserve">Umfahrer</w:t>
            </w:r>
            <w:r>
              <w:rPr>
                <w:rFonts w:ascii="Arial" w:hAnsi="Arial" w:eastAsia="Arial" w:cs="Arial"/>
                <w:color w:val="000000"/>
                <w:position w:val="0"/>
                <w:sz w:val="20"/>
                <w:szCs w:val="20"/>
              </w:rPr>
              <w:t xml:space="preserve"> (</w:t>
            </w:r>
            <w:r>
              <w:rPr>
                <w:rFonts w:ascii="Arial" w:hAnsi="Arial" w:eastAsia="Arial" w:cs="Arial"/>
                <w:i/>
                <w:iCs/>
                <w:color w:val="000000"/>
                <w:position w:val="0"/>
                <w:sz w:val="20"/>
                <w:szCs w:val="20"/>
              </w:rPr>
              <w:t xml:space="preserve">Umfahrer</w:t>
            </w:r>
            <w:r>
              <w:rPr>
                <w:rFonts w:ascii="Arial" w:hAnsi="Arial" w:eastAsia="Arial" w:cs="Arial"/>
                <w:color w:val="000000"/>
                <w:position w:val="3"/>
                <w:sz w:val="18"/>
                <w:szCs w:val="18"/>
                <w:vertAlign w:val="superscript"/>
              </w:rPr>
              <w:t xml:space="preserve">6</w:t>
            </w:r>
            <w:r>
              <w:rPr>
                <w:rFonts w:ascii="Arial" w:hAnsi="Arial" w:eastAsia="Arial" w:cs="Arial"/>
                <w:color w:val="000000"/>
                <w:position w:val="0"/>
                <w:sz w:val="20"/>
                <w:szCs w:val="20"/>
              </w:rPr>
              <w:t xml:space="preserve">,
GmbH, Rz 111), die die Rechtsfähigkeit der Vorgesellschaft
verneinen, halten bei Liegenschaften folgende Vorgangsweise für
erforderlich: In den Gesellschaftsvertrag ist die Übergabe der
einzubringenden Liegenschaft zusammen mit der Aufsandungserklärung
aufzunehmen. Der einbringende Gesellschafter hat vor Anmeldung der
GmbH einen zeitlich noch ausreichend gültigen Rangordnungsbeschluss
über die Anmerkung der Rangordnung für die beabsichtigte
Veräußerung (§ 53 Abs 1 GBG) auf der einzubringenden
Liegenschaft zu übergeben. Der so verfasste Gesellschaftsvertrag
gibt dann im Zusammenhang mit dem Rangordnungsbeschluss den
Geschäftsführern schon zum Zeitpunkt der Anmeldung der Gesellschaft
die freie Verfügung über die Liegenschaft. Zur Eintragung der GmbH
ist der Nachweis über die bücherliche Übertragung der eingebrachten
Liegenschaft nicht erforderlich.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nachträgliche Änderung der Bareinlage in eine Sacheinlage im
Wege einer Satzungsänderung ist zulässig, wenn – mangels
Erfordernis einer Gründungsprüfung – die Sacheinlage der
Werthaltigkeitsprüfung des Firmenbuchgerichtes standhält (vgl OLG
Graz 4 R 60/08p). Werden in Erfüllung der gesellschaftsvertraglich
eingegangenen Bareinlageverpflichtungen Sacheinlagen ohne die
erforderliche gesellschaftsvertragliche Grundlage und ohne
Einhaltung der entsprechenden Sacheinlagevorschriften in die GmbH,
(„verdeckte Sacheinlage“) befreit dies den Gesellschafter nicht von
seiner Bareinzahlungsverpflichtung. Die nachträgliche Durchführung
einer Nachgründungsprüfung hat keinen Einfluss auf die
Bareinzahlungsverpflichtung des Gesellschafters, vermag daher eine
„verdeckte Sacheinlage“ nicht zu heilen (vgl OGH 6 Ob 132/00f).</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002006" w:name="note7"/>
            <w:bookmarkEnd w:id="12002006"/>
            <w:bookmarkStart w:id="7877259725971" w:name="note7"/>
            <w:r>
              <w:rPr>
                <w:rFonts w:ascii="Arial" w:hAnsi="Arial" w:eastAsia="Arial" w:cs="Arial"/>
                <w:b/>
                <w:bCs/>
                <w:color w:val="000000"/>
                <w:position w:val="0"/>
                <w:sz w:val="20"/>
                <w:szCs w:val="20"/>
              </w:rPr>
              <w:t xml:space="preserve">[7]</w:t>
            </w:r>
            <w:bookmarkEnd w:id="787725972597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Firmenbuch:</w:t>
            </w:r>
            <w:r>
              <w:rPr>
                <w:rFonts w:ascii="Arial" w:hAnsi="Arial" w:eastAsia="Arial" w:cs="Arial"/>
                <w:color w:val="000000"/>
                <w:position w:val="0"/>
                <w:sz w:val="20"/>
                <w:szCs w:val="20"/>
              </w:rPr>
              <w:t xml:space="preserve"> Im Rahmen der Anmeldung der neu
gegründeten GmbH zum Firmenbuch müssen die Geschäftsführer die
Erklärung abgeben, dass (die bar zu leistenden Stammeinlagen in dem
aus der Liste ersichtlichen Betrag bar eingezahlt sind und dass die
eingezahlten Beträge sowie) die Vermögensgegenstände, die nach dem
Gesellschaftsvertrag nicht bar auf die Stammeinlagen zu leisten
sind, sich in ihrer </w:t>
            </w:r>
            <w:r>
              <w:rPr>
                <w:rFonts w:ascii="Arial" w:hAnsi="Arial" w:eastAsia="Arial" w:cs="Arial"/>
                <w:b/>
                <w:bCs/>
                <w:color w:val="000000"/>
                <w:position w:val="0"/>
                <w:sz w:val="20"/>
                <w:szCs w:val="20"/>
              </w:rPr>
              <w:t xml:space="preserve">freien Verfügung</w:t>
            </w:r>
            <w:r>
              <w:rPr>
                <w:rFonts w:ascii="Arial" w:hAnsi="Arial" w:eastAsia="Arial" w:cs="Arial"/>
                <w:color w:val="000000"/>
                <w:position w:val="0"/>
                <w:sz w:val="20"/>
                <w:szCs w:val="20"/>
              </w:rPr>
              <w:t xml:space="preserve"> befinden und
diese Verfügung namentlich nicht durch Gegenforderungen beschränkt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freie Verfügungsbefugnis liegt vor, wenn bewegliche Sachen
übergeben wurden; bei Immaterialgüterrechten wird nach
überwiegender Ansicht das Vorliegen einer (beglaubigten)
Übertragungserklärung gefordert.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52212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6294597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967799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3516309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142963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7884121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3076332">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122022">
    <w:multiLevelType w:val="hybridMultilevel"/>
    <w:lvl w:ilvl="0" w:tplc="80668371">
      <w:start w:val="1"/>
      <w:numFmt w:val="decimal"/>
      <w:lvlText w:val="%1."/>
      <w:lvlJc w:val="left"/>
      <w:pPr>
        <w:ind w:left="720" w:hanging="360"/>
      </w:pPr>
    </w:lvl>
    <w:lvl w:ilvl="1" w:tplc="80668371" w:tentative="1">
      <w:start w:val="1"/>
      <w:numFmt w:val="lowerLetter"/>
      <w:lvlText w:val="%2."/>
      <w:lvlJc w:val="left"/>
      <w:pPr>
        <w:ind w:left="1440" w:hanging="360"/>
      </w:pPr>
    </w:lvl>
    <w:lvl w:ilvl="2" w:tplc="80668371" w:tentative="1">
      <w:start w:val="1"/>
      <w:numFmt w:val="lowerRoman"/>
      <w:lvlText w:val="%3."/>
      <w:lvlJc w:val="right"/>
      <w:pPr>
        <w:ind w:left="2160" w:hanging="180"/>
      </w:pPr>
    </w:lvl>
    <w:lvl w:ilvl="3" w:tplc="80668371" w:tentative="1">
      <w:start w:val="1"/>
      <w:numFmt w:val="decimal"/>
      <w:lvlText w:val="%4."/>
      <w:lvlJc w:val="left"/>
      <w:pPr>
        <w:ind w:left="2880" w:hanging="360"/>
      </w:pPr>
    </w:lvl>
    <w:lvl w:ilvl="4" w:tplc="80668371" w:tentative="1">
      <w:start w:val="1"/>
      <w:numFmt w:val="lowerLetter"/>
      <w:lvlText w:val="%5."/>
      <w:lvlJc w:val="left"/>
      <w:pPr>
        <w:ind w:left="3600" w:hanging="360"/>
      </w:pPr>
    </w:lvl>
    <w:lvl w:ilvl="5" w:tplc="80668371" w:tentative="1">
      <w:start w:val="1"/>
      <w:numFmt w:val="lowerRoman"/>
      <w:lvlText w:val="%6."/>
      <w:lvlJc w:val="right"/>
      <w:pPr>
        <w:ind w:left="4320" w:hanging="180"/>
      </w:pPr>
    </w:lvl>
    <w:lvl w:ilvl="6" w:tplc="80668371" w:tentative="1">
      <w:start w:val="1"/>
      <w:numFmt w:val="decimal"/>
      <w:lvlText w:val="%7."/>
      <w:lvlJc w:val="left"/>
      <w:pPr>
        <w:ind w:left="5040" w:hanging="360"/>
      </w:pPr>
    </w:lvl>
    <w:lvl w:ilvl="7" w:tplc="80668371" w:tentative="1">
      <w:start w:val="1"/>
      <w:numFmt w:val="lowerLetter"/>
      <w:lvlText w:val="%8."/>
      <w:lvlJc w:val="left"/>
      <w:pPr>
        <w:ind w:left="5760" w:hanging="360"/>
      </w:pPr>
    </w:lvl>
    <w:lvl w:ilvl="8" w:tplc="80668371" w:tentative="1">
      <w:start w:val="1"/>
      <w:numFmt w:val="lowerRoman"/>
      <w:lvlText w:val="%9."/>
      <w:lvlJc w:val="right"/>
      <w:pPr>
        <w:ind w:left="6480" w:hanging="180"/>
      </w:pPr>
    </w:lvl>
  </w:abstractNum>
  <w:abstractNum w:abstractNumId="1888314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4916924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122021">
    <w:multiLevelType w:val="hybridMultilevel"/>
    <w:lvl w:ilvl="0" w:tplc="12569517">
      <w:start w:val="1"/>
      <w:numFmt w:val="decimal"/>
      <w:lvlText w:val="%1."/>
      <w:lvlJc w:val="left"/>
      <w:pPr>
        <w:ind w:left="720" w:hanging="360"/>
      </w:pPr>
    </w:lvl>
    <w:lvl w:ilvl="1" w:tplc="12569517" w:tentative="1">
      <w:start w:val="1"/>
      <w:numFmt w:val="lowerLetter"/>
      <w:lvlText w:val="%2."/>
      <w:lvlJc w:val="left"/>
      <w:pPr>
        <w:ind w:left="1440" w:hanging="360"/>
      </w:pPr>
    </w:lvl>
    <w:lvl w:ilvl="2" w:tplc="12569517" w:tentative="1">
      <w:start w:val="1"/>
      <w:numFmt w:val="lowerRoman"/>
      <w:lvlText w:val="%3."/>
      <w:lvlJc w:val="right"/>
      <w:pPr>
        <w:ind w:left="2160" w:hanging="180"/>
      </w:pPr>
    </w:lvl>
    <w:lvl w:ilvl="3" w:tplc="12569517" w:tentative="1">
      <w:start w:val="1"/>
      <w:numFmt w:val="decimal"/>
      <w:lvlText w:val="%4."/>
      <w:lvlJc w:val="left"/>
      <w:pPr>
        <w:ind w:left="2880" w:hanging="360"/>
      </w:pPr>
    </w:lvl>
    <w:lvl w:ilvl="4" w:tplc="12569517" w:tentative="1">
      <w:start w:val="1"/>
      <w:numFmt w:val="lowerLetter"/>
      <w:lvlText w:val="%5."/>
      <w:lvlJc w:val="left"/>
      <w:pPr>
        <w:ind w:left="3600" w:hanging="360"/>
      </w:pPr>
    </w:lvl>
    <w:lvl w:ilvl="5" w:tplc="12569517" w:tentative="1">
      <w:start w:val="1"/>
      <w:numFmt w:val="lowerRoman"/>
      <w:lvlText w:val="%6."/>
      <w:lvlJc w:val="right"/>
      <w:pPr>
        <w:ind w:left="4320" w:hanging="180"/>
      </w:pPr>
    </w:lvl>
    <w:lvl w:ilvl="6" w:tplc="12569517" w:tentative="1">
      <w:start w:val="1"/>
      <w:numFmt w:val="decimal"/>
      <w:lvlText w:val="%7."/>
      <w:lvlJc w:val="left"/>
      <w:pPr>
        <w:ind w:left="5040" w:hanging="360"/>
      </w:pPr>
    </w:lvl>
    <w:lvl w:ilvl="7" w:tplc="12569517" w:tentative="1">
      <w:start w:val="1"/>
      <w:numFmt w:val="lowerLetter"/>
      <w:lvlText w:val="%8."/>
      <w:lvlJc w:val="left"/>
      <w:pPr>
        <w:ind w:left="5760" w:hanging="360"/>
      </w:pPr>
    </w:lvl>
    <w:lvl w:ilvl="8" w:tplc="12569517" w:tentative="1">
      <w:start w:val="1"/>
      <w:numFmt w:val="lowerRoman"/>
      <w:lvlText w:val="%9."/>
      <w:lvlJc w:val="right"/>
      <w:pPr>
        <w:ind w:left="6480" w:hanging="180"/>
      </w:pPr>
    </w:lvl>
  </w:abstractNum>
  <w:abstractNum w:abstractNumId="43122020">
    <w:multiLevelType w:val="hybridMultilevel"/>
    <w:lvl w:ilvl="0" w:tplc="10374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22020">
    <w:abstractNumId w:val="43122020"/>
  </w:num>
  <w:num w:numId="43122021">
    <w:abstractNumId w:val="43122021"/>
  </w:num>
  <w:num w:numId="349169249">
    <w:abstractNumId w:val="349169249"/>
  </w:num>
  <w:num w:numId="188831409">
    <w:abstractNumId w:val="188831409"/>
  </w:num>
  <w:num w:numId="43122022">
    <w:abstractNumId w:val="43122022"/>
  </w:num>
  <w:num w:numId="313076332">
    <w:abstractNumId w:val="313076332"/>
  </w:num>
  <w:num w:numId="978841216">
    <w:abstractNumId w:val="978841216"/>
  </w:num>
  <w:num w:numId="311429639">
    <w:abstractNumId w:val="311429639"/>
  </w:num>
  <w:num w:numId="235163097">
    <w:abstractNumId w:val="235163097"/>
  </w:num>
  <w:num w:numId="449677999">
    <w:abstractNumId w:val="449677999"/>
  </w:num>
  <w:num w:numId="562945976">
    <w:abstractNumId w:val="562945976"/>
  </w:num>
  <w:num w:numId="469522126">
    <w:abstractNumId w:val="469522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73370929" Type="http://schemas.openxmlformats.org/officeDocument/2006/relationships/numbering" Target="numbering.xml"/><Relationship Id="rId75066476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