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3776607" w:name="document"/>
    <w:bookmarkEnd w:id="23776607"/>
    <w:p/>
    <w:p>
      <w:pPr>
        <w:widowControl w:val="on"/>
        <w:pBdr/>
        <w:spacing w:before="0" w:after="280" w:line="240" w:lineRule="auto"/>
        <w:ind w:left="0" w:right="0"/>
        <w:jc w:val="left"/>
      </w:pPr>
      <w:r>
        <w:rPr>
          <w:rFonts w:ascii="Arial" w:hAnsi="Arial" w:eastAsia="Arial" w:cs="Arial"/>
          <w:color w:val="363A40"/>
          <w:sz w:val="24"/>
          <w:szCs w:val="24"/>
        </w:rPr>
        <w:t xml:space="preserve">Dokument-ID: 1091022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Errichtende Umwandlung einer GmbH in eine KG</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12345s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Manfred Braun, geboren am …,</w:t>
            </w:r>
            <w:r>
              <w:rPr>
                <w:rFonts w:ascii="Arial" w:hAnsi="Arial" w:eastAsia="Arial" w:cs="Arial"/>
                <w:color w:val="000000"/>
                <w:position w:val="0"/>
                <w:sz w:val="20"/>
                <w:szCs w:val="20"/>
                <w:shd w:val="clear" w:color="auto" w:fill="FFFFFF"/>
              </w:rPr>
              <w:br/>
              <w:t xml:space="preserve">Musterstraße 1a, 1130 Wien sowie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Geschäftsführer der</w:t>
            </w:r>
            <w:r>
              <w:rPr>
                <w:rFonts w:ascii="Arial" w:hAnsi="Arial" w:eastAsia="Arial" w:cs="Arial"/>
                <w:color w:val="000000"/>
                <w:position w:val="0"/>
                <w:sz w:val="20"/>
                <w:szCs w:val="20"/>
                <w:shd w:val="clear" w:color="auto" w:fill="FFFFFF"/>
              </w:rPr>
              <w:br/>
              <w:t xml:space="preserve">Hubert Lechner Unternehmensberatungs- und BeteiligungsgmbH</w:t>
            </w:r>
            <w:r>
              <w:rPr>
                <w:rFonts w:ascii="Arial" w:hAnsi="Arial" w:eastAsia="Arial" w:cs="Arial"/>
                <w:color w:val="000000"/>
                <w:position w:val="0"/>
                <w:sz w:val="20"/>
                <w:szCs w:val="20"/>
                <w:shd w:val="clear" w:color="auto" w:fill="FFFFFF"/>
              </w:rPr>
              <w:br/>
              <w:t xml:space="preserve">mit dem Sitz in Wien und der Geschäftsanschrift:</w:t>
            </w:r>
            <w:r>
              <w:rPr>
                <w:rFonts w:ascii="Arial" w:hAnsi="Arial" w:eastAsia="Arial" w:cs="Arial"/>
                <w:color w:val="000000"/>
                <w:position w:val="0"/>
                <w:sz w:val="20"/>
                <w:szCs w:val="20"/>
                <w:shd w:val="clear" w:color="auto" w:fill="FFFFFF"/>
              </w:rPr>
              <w:br/>
              <w:t xml:space="preserve">Musterstraße 1a, 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Frieda Fuchs,</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Advokatenweg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RA Code R 123456</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2 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der Umwandlung
der Gesellschaft durch Übertragung des Vermögens auf die Hubert
Lechner Unternehmensberatungs- und BeteiligungsgmbH NfG KG und
Eintragung der Nachfolgekommanditgesellschaft in das
Firmenbuch</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Handelsgerichtes Wien ist unter FN … die
Hubert Lechner Unternehmensberatungs- und BeteiligungsgmbH mit dem
Sitz in Wien eingetragen.</w:t>
      </w:r>
    </w:p>
    <w:p>
      <w:pPr>
        <w:widowControl w:val="on"/>
        <w:pBdr/>
        <w:spacing w:before="140" w:after="240" w:line="288" w:lineRule="auto"/>
        <w:ind w:left="0" w:right="0"/>
        <w:jc w:val="left"/>
      </w:pPr>
      <w:r>
        <w:rPr>
          <w:rFonts w:ascii="Arial" w:hAnsi="Arial" w:eastAsia="Arial" w:cs="Arial"/>
          <w:color w:val="000000"/>
          <w:sz w:val="20"/>
          <w:szCs w:val="20"/>
        </w:rPr>
        <w:t xml:space="preserve">In der Generalversammlung der vorgenannten Gesellschaft vom …
wurde beschlossen, die Gesellschaft gemäß den Bestimmungen des
Umwandlungsgesetzes umzuwandeln und zwar durch Übertragung des
Vermögens und des Betriebes der GmbH als Ganzes im Wege der
Gesamtrechtsnachfolge auf die Hubert Lechner Unternehmens- und
Beteiligungs Nfg. KG mit Grundlage des Umwandlungsvertrages vom …
und unter Inanspruchnahme der abgabenrechtlichen Begünstigungen
gemäß Artikel II UmgrStG.</w:t>
      </w:r>
    </w:p>
    <w:p>
      <w:pPr>
        <w:widowControl w:val="on"/>
        <w:pBdr/>
        <w:spacing w:before="140" w:after="240" w:line="288" w:lineRule="auto"/>
        <w:ind w:left="0" w:right="0"/>
        <w:jc w:val="left"/>
      </w:pPr>
      <w:r>
        <w:rPr>
          <w:rFonts w:ascii="Arial" w:hAnsi="Arial" w:eastAsia="Arial" w:cs="Arial"/>
          <w:color w:val="000000"/>
          <w:sz w:val="20"/>
          <w:szCs w:val="20"/>
        </w:rPr>
        <w:t xml:space="preserve">Der Umwandlung wird die Bilanz zum … zugrunde gelegt.</w:t>
      </w:r>
    </w:p>
    <w:p>
      <w:pPr>
        <w:widowControl w:val="on"/>
        <w:pBdr/>
        <w:spacing w:before="140" w:after="240" w:line="288" w:lineRule="auto"/>
        <w:ind w:left="0" w:right="0"/>
        <w:jc w:val="left"/>
      </w:pPr>
      <w:r>
        <w:rPr>
          <w:rFonts w:ascii="Arial" w:hAnsi="Arial" w:eastAsia="Arial" w:cs="Arial"/>
          <w:color w:val="000000"/>
          <w:sz w:val="20"/>
          <w:szCs w:val="20"/>
        </w:rPr>
        <w:t xml:space="preserve">Auf die Liquidation der Hubert Lechner Unternehmensberatungs-
und BeteiligungsgmbH wurde einvernehmlich verzichtet.</w:t>
      </w:r>
    </w:p>
    <w:p>
      <w:pPr>
        <w:widowControl w:val="on"/>
        <w:pBdr/>
        <w:spacing w:before="140" w:after="240" w:line="288" w:lineRule="auto"/>
        <w:ind w:left="0" w:right="0"/>
        <w:jc w:val="left"/>
      </w:pPr>
      <w:r>
        <w:rPr>
          <w:rFonts w:ascii="Arial" w:hAnsi="Arial" w:eastAsia="Arial" w:cs="Arial"/>
          <w:color w:val="000000"/>
          <w:sz w:val="20"/>
          <w:szCs w:val="20"/>
        </w:rPr>
        <w:t xml:space="preserve">Die bisherigen Gesellschafter der Hubert Lechner
Unternehmensberatungs- und BeteiligungsgmbH sind am
Nachfolgeunternehmen wieder im selben Ausmaß als Gesellschafter
beteiligt.</w:t>
      </w:r>
    </w:p>
    <w:p>
      <w:pPr>
        <w:widowControl w:val="on"/>
        <w:pBdr/>
        <w:spacing w:before="140" w:after="240" w:line="288" w:lineRule="auto"/>
        <w:ind w:left="0" w:right="0"/>
        <w:jc w:val="left"/>
      </w:pPr>
      <w:r>
        <w:rPr>
          <w:rFonts w:ascii="Arial" w:hAnsi="Arial" w:eastAsia="Arial" w:cs="Arial"/>
          <w:color w:val="000000"/>
          <w:sz w:val="20"/>
          <w:szCs w:val="20"/>
        </w:rPr>
        <w:t xml:space="preserve">Auf die Anwendung der Bestimmungen der §§ 220a, 220b und
221a Abs 1 bis 3 AktG sowie auf das Recht, eine Klage auf
Anfechtung oder Feststellung der Nichtigkeit des gegenständlichen
Umwandlungsbeschlusses zu erheben, wurde mit
Generalversammlungsbeschluss verzichtet.</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5795284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Abschrift des Generalversammlungsprotokolls
vom … samt Bilanz zum … und Umwandlungsvertrag,</w:t>
      </w:r>
    </w:p>
    <w:p>
      <w:pPr>
        <w:numPr>
          <w:ilvl w:val="0"/>
          <w:numId w:val="5795284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Musterzeichnungserklärung des unbeschränkt haftenden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wird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gestellt, im Firmenbuch des Handelsgerichtes Wien folgende
Eintragungen vorzunehmen (Löschungen sind seitlich mit #
gekennzeichnet)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 Bei der Firma Hubert Lechner Unternehmensberatungs- und
BeteiligungsgmbH (FN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FIRMA gelöscht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Hubert Lechner Unternehmensberatungs- und BeteiligungsgmbH</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SITZ 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politischer Gemeinde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Generalversammlungsbeschluss vom …</w:t>
            </w:r>
            <w:r>
              <w:rPr>
                <w:rFonts w:ascii="Arial" w:hAnsi="Arial" w:eastAsia="Arial" w:cs="Arial"/>
                <w:color w:val="000000"/>
                <w:position w:val="0"/>
                <w:sz w:val="20"/>
                <w:szCs w:val="20"/>
                <w:shd w:val="clear" w:color="auto" w:fill="FFFFFF"/>
              </w:rPr>
              <w:br/>
              <w:t xml:space="preserve">Umwandlung gem § 5 UmwG unter gleichzeitiger Errichtung
der Personengesellschaft Hubert Lechner Unternehmens- und
Beteiligungs Nfg. KG (FN …)</w:t>
            </w:r>
            <w:r>
              <w:rPr>
                <w:rFonts w:ascii="Arial" w:hAnsi="Arial" w:eastAsia="Arial" w:cs="Arial"/>
                <w:color w:val="000000"/>
                <w:position w:val="0"/>
                <w:sz w:val="20"/>
                <w:szCs w:val="20"/>
                <w:shd w:val="clear" w:color="auto" w:fill="FFFFFF"/>
              </w:rPr>
              <w:br/>
              <w:t xml:space="preserve">Die Gesellschaft ist aufgelöst und gelöscht.</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II. Den Nachfolgerechtsträger wie folgt im Firmenbuch
eintragen: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tblGrid>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FIRMA</w:t>
            </w:r>
            <w:r>
              <w:rPr>
                <w:rFonts w:ascii="Arial" w:hAnsi="Arial" w:eastAsia="Arial" w:cs="Arial"/>
                <w:color w:val="000000"/>
                <w:position w:val="0"/>
                <w:sz w:val="20"/>
                <w:szCs w:val="20"/>
                <w:shd w:val="clear" w:color="auto" w:fill="FFFFFF"/>
              </w:rPr>
              <w:br/>
              <w:t xml:space="preserve">Hubert Lechner Unternehmens- und Beteiligungs Nfg. KG</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RECHTSFORM</w:t>
            </w:r>
            <w:r>
              <w:rPr>
                <w:rFonts w:ascii="Arial" w:hAnsi="Arial" w:eastAsia="Arial" w:cs="Arial"/>
                <w:color w:val="000000"/>
                <w:position w:val="0"/>
                <w:sz w:val="20"/>
                <w:szCs w:val="20"/>
                <w:shd w:val="clear" w:color="auto" w:fill="FFFFFF"/>
              </w:rPr>
              <w:br/>
              <w:t xml:space="preserve">Kommanditgesellschaft</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SITZ in</w:t>
            </w:r>
            <w:r>
              <w:rPr>
                <w:rFonts w:ascii="Arial" w:hAnsi="Arial" w:eastAsia="Arial" w:cs="Arial"/>
                <w:color w:val="000000"/>
                <w:position w:val="0"/>
                <w:sz w:val="20"/>
                <w:szCs w:val="20"/>
                <w:shd w:val="clear" w:color="auto" w:fill="FFFFFF"/>
              </w:rPr>
              <w:br/>
              <w:t xml:space="preserve">politischer Gemeinde Wien</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GESCHÄFTSANSCHRIFT</w:t>
            </w:r>
            <w:r>
              <w:rPr>
                <w:rFonts w:ascii="Arial" w:hAnsi="Arial" w:eastAsia="Arial" w:cs="Arial"/>
                <w:color w:val="000000"/>
                <w:position w:val="0"/>
                <w:sz w:val="20"/>
                <w:szCs w:val="20"/>
                <w:shd w:val="clear" w:color="auto" w:fill="FFFFFF"/>
              </w:rPr>
              <w:br/>
              <w:t xml:space="preserve">Exempelweg 1</w:t>
            </w:r>
            <w:r>
              <w:rPr>
                <w:rFonts w:ascii="Arial" w:hAnsi="Arial" w:eastAsia="Arial" w:cs="Arial"/>
                <w:color w:val="000000"/>
                <w:position w:val="0"/>
                <w:sz w:val="20"/>
                <w:szCs w:val="20"/>
                <w:shd w:val="clear" w:color="auto" w:fill="FFFFFF"/>
              </w:rPr>
              <w:br/>
              <w:t xml:space="preserve">1100 Wien</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GESCHÄFTSZWEIG</w:t>
            </w:r>
            <w:r>
              <w:rPr>
                <w:rFonts w:ascii="Arial" w:hAnsi="Arial" w:eastAsia="Arial" w:cs="Arial"/>
                <w:color w:val="000000"/>
                <w:position w:val="0"/>
                <w:sz w:val="20"/>
                <w:szCs w:val="20"/>
                <w:shd w:val="clear" w:color="auto" w:fill="FFFFFF"/>
              </w:rPr>
              <w:br/>
              <w:t xml:space="preserve">Unternehmensberatung</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STICHTAG für JAHRESABSCHLUSS</w:t>
            </w:r>
            <w:r>
              <w:rPr>
                <w:rFonts w:ascii="Arial" w:hAnsi="Arial" w:eastAsia="Arial" w:cs="Arial"/>
                <w:color w:val="000000"/>
                <w:position w:val="0"/>
                <w:sz w:val="20"/>
                <w:szCs w:val="20"/>
                <w:shd w:val="clear" w:color="auto" w:fill="FFFFFF"/>
              </w:rPr>
              <w:br/>
              <w:t xml:space="preserve">31. Dezember</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Gesellschaftsvertrag vom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ist durch Umwandlung gem §§ 1 ff UmwG
aus der Hubert Lechner Unternehmensberatungs- und BeteiligungsgmbH
(FN …) hervorgegangen.</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UNBESCHRÄNKT HAFTENDE/R GESELLSCHAFTER/IN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Manfred Braun, geb ….</w:t>
            </w:r>
            <w:r>
              <w:rPr>
                <w:rFonts w:ascii="Arial" w:hAnsi="Arial" w:eastAsia="Arial" w:cs="Arial"/>
                <w:color w:val="000000"/>
                <w:position w:val="0"/>
                <w:sz w:val="20"/>
                <w:szCs w:val="20"/>
                <w:shd w:val="clear" w:color="auto" w:fill="FFFFFF"/>
              </w:rPr>
              <w:br/>
              <w:t xml:space="preserve">vertritt seit … selbstständig</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KOMMANDITIST/IN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HAFTSUMME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Hubert Lechner, geb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34.657,00</w:t>
            </w:r>
          </w:p>
        </w:tc>
      </w:tr>
      <w:tr>
        <w:trPr>
          <w:trHeight w:val="0" w:hRule="atLeast"/>
        </w:trPr>
        <w:tc>
          <w:tcPr>
            <w:tcW w:w="0" w:type="auto"/>
            <w:gridSpan w:val="4"/>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Manfred Braun, geb …</w:t>
            </w:r>
            <w:r>
              <w:rPr>
                <w:rFonts w:ascii="Arial" w:hAnsi="Arial" w:eastAsia="Arial" w:cs="Arial"/>
                <w:color w:val="000000"/>
                <w:position w:val="0"/>
                <w:sz w:val="20"/>
                <w:szCs w:val="20"/>
                <w:shd w:val="clear" w:color="auto" w:fill="FFFFFF"/>
              </w:rPr>
              <w:br/>
              <w:t xml:space="preserve">Musterweg 1a</w:t>
            </w:r>
            <w:r>
              <w:rPr>
                <w:rFonts w:ascii="Arial" w:hAnsi="Arial" w:eastAsia="Arial" w:cs="Arial"/>
                <w:color w:val="000000"/>
                <w:position w:val="0"/>
                <w:sz w:val="20"/>
                <w:szCs w:val="20"/>
                <w:shd w:val="clear" w:color="auto" w:fill="FFFFFF"/>
              </w:rPr>
              <w:br/>
              <w:t xml:space="preserve">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Hubert Lechner, geb 02.02.1972</w:t>
            </w:r>
            <w:r>
              <w:rPr>
                <w:rFonts w:ascii="Arial" w:hAnsi="Arial" w:eastAsia="Arial" w:cs="Arial"/>
                <w:color w:val="000000"/>
                <w:position w:val="0"/>
                <w:sz w:val="20"/>
                <w:szCs w:val="20"/>
                <w:shd w:val="clear" w:color="auto" w:fill="FFFFFF"/>
              </w:rPr>
              <w:br/>
              <w:t xml:space="preserve">Musterweg 1a</w:t>
            </w:r>
            <w:r>
              <w:rPr>
                <w:rFonts w:ascii="Arial" w:hAnsi="Arial" w:eastAsia="Arial" w:cs="Arial"/>
                <w:color w:val="000000"/>
                <w:position w:val="0"/>
                <w:sz w:val="20"/>
                <w:szCs w:val="20"/>
                <w:shd w:val="clear" w:color="auto" w:fill="FFFFFF"/>
              </w:rPr>
              <w:br/>
              <w:t xml:space="preserve">1170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Mag. Manfred Braun (als Geschäftsführer der umgewandelten
Gesellschaft und als unbeschränkt haftender Gesellschafter des
Nachfolgerechtsträgers)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Hubert Lechner (als Kommanditist des Nachfolgerechtsträgers)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4060838" w:name="note1"/>
            <w:bookmarkEnd w:id="94060838"/>
            <w:bookmarkStart w:id="7120303002030" w:name="note1"/>
            <w:r>
              <w:rPr>
                <w:rFonts w:ascii="Arial" w:hAnsi="Arial" w:eastAsia="Arial" w:cs="Arial"/>
                <w:b/>
                <w:bCs/>
                <w:color w:val="000000"/>
                <w:position w:val="0"/>
                <w:sz w:val="20"/>
                <w:szCs w:val="20"/>
              </w:rPr>
              <w:t xml:space="preserve">[1]</w:t>
            </w:r>
            <w:bookmarkEnd w:id="71203030020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Beglaubigte Unterschriften.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465625" w:name="note2"/>
            <w:bookmarkEnd w:id="49465625"/>
            <w:bookmarkStart w:id="5048369667245" w:name="note2"/>
            <w:r>
              <w:rPr>
                <w:rFonts w:ascii="Arial" w:hAnsi="Arial" w:eastAsia="Arial" w:cs="Arial"/>
                <w:b/>
                <w:bCs/>
                <w:color w:val="000000"/>
                <w:position w:val="0"/>
                <w:sz w:val="20"/>
                <w:szCs w:val="20"/>
              </w:rPr>
              <w:t xml:space="preserve">[2]</w:t>
            </w:r>
            <w:bookmarkEnd w:id="504836966724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Umwandlung ist jedenfalls bei der umzuwandelnden
Kapitalgesellschaft zur Eintragung in das Firmenbuch
anzumelden.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der Eintragung der Umwandlung durch Übertragung des
Unternehmens einer Kapitalgesellschaft auf den Hauptgesellschafter
oder einer Verschmelzung in das Firmenbuch tritt der so genannte
„Bestandschutz“ ein. Daher können danach zwar Mängel wahrgenommen
werden, aber nicht zur Rückgängigmachung einer einmal wirksam
gewordenen Umwandlung (Verschmelzung) führen. Der Bestandschutz
bezieht sich auf alle Mängel der Umwandlung (Verschmelzung)
unabhängig von der Schwere des Mangels. Nach der Eintragung der
Umwandlung (Verschmelzung) in das Firmenbuch kann selbst bei
schwersten Mängeln keine Anfechtungs- oder Nichtigkeitsklage
erhoben werden. Vor Eintragung erhobene Anfechtungs- oder
Nichtigkeitsklagen müssen in Schadenersatzklagen geändert oder auf
Kosten eingeschränkt werden. Der Bestandschutz schließt auch
Beschlüsse ein, die dem Umwandlungsbeschluss
(Verschmelzungsbeschluss) vorgelagert sind, wenn sie die
Strukturveränderung vorbereiten und daher in der
strukturverändernden Maßnahme „aufgehen“ (zB ein
verschmelzungsbedingter Kapitalerhöhungsbeschluss der übernehmenden
Gesellschaft). Die Bekämpfung vorbereitender Beschlüsse kann nie
dazu führen, dass die Umwandlung (Verschmelzung) rückabgewickelt
wird (vgl OGH 6 Ob 210/19d).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874014" w:name="note3"/>
            <w:bookmarkEnd w:id="10874014"/>
            <w:bookmarkStart w:id="9882977021855" w:name="note3"/>
            <w:r>
              <w:rPr>
                <w:rFonts w:ascii="Arial" w:hAnsi="Arial" w:eastAsia="Arial" w:cs="Arial"/>
                <w:b/>
                <w:bCs/>
                <w:color w:val="000000"/>
                <w:position w:val="0"/>
                <w:sz w:val="20"/>
                <w:szCs w:val="20"/>
              </w:rPr>
              <w:t xml:space="preserve">[3]</w:t>
            </w:r>
            <w:bookmarkEnd w:id="98829770218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Anmeldung hat die Geschäftsführung der Kapitalgesellschaft
in vertretungsbefugter Zahl gemeinsam mit den Gesellschaftern des
Nachfolgerechtsträgers vorzunehmen.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091990" w:name="note4"/>
            <w:bookmarkEnd w:id="40091990"/>
            <w:bookmarkStart w:id="1728830972967" w:name="note4"/>
            <w:r>
              <w:rPr>
                <w:rFonts w:ascii="Arial" w:hAnsi="Arial" w:eastAsia="Arial" w:cs="Arial"/>
                <w:b/>
                <w:bCs/>
                <w:color w:val="000000"/>
                <w:position w:val="0"/>
                <w:sz w:val="20"/>
                <w:szCs w:val="20"/>
              </w:rPr>
              <w:t xml:space="preserve">[4]</w:t>
            </w:r>
            <w:bookmarkEnd w:id="172883097296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Unterlagen:</w:t>
            </w:r>
            <w:r>
              <w:rPr>
                <w:rFonts w:ascii="Arial" w:hAnsi="Arial" w:eastAsia="Arial" w:cs="Arial"/>
                <w:color w:val="000000"/>
                <w:position w:val="0"/>
                <w:sz w:val="20"/>
                <w:szCs w:val="20"/>
              </w:rPr>
              <w:t xml:space="preserve"> Der Firmenbuchanmeldung der
umzuwandelnden Kapitalgesellschaft sind folgende Unterlagen
beizuschließen:</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Umwandlungsvertrag</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Niederschrift/Generalversammlungsprotokoll über den
Umwandlungsbeschluss</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Genehmigungsurkunde, sofern die Umwandlung einer behördlichen
Genehmigung bedarf</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Umwandlungsbericht (verzichtbar gem § 2 Abs 3
UmwG iVm § 100 Abs 1 GmbHG und § 220a AktG)</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Prüfungsbericht (verzichtbar gem § 2 Abs 3 UmwG
iVm § 100 Abs 1 GmbHG und § 220b AktG)</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Schlussbilanz der umzuwandelnden Kapitalgesellschaft, sofern
diese nicht bereits Bestandteil des Umwandlungsbeschlusses ist</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Erklärung des Vorstandes/der Geschäftsführung der
umzuwandelnden Kapitalgesellschaft und des (Vertretungsorgans des)
Hauptgesellschafters, dass eine Klage auf Anfechtung oder
Feststellung der Nichtigkeit des Umwandlungsbeschlusses innerhalb
eines Monats nach der Beschlussfassung nicht erhoben oder
zurückgenommen worden ist oder dass alle Anteilsinhaber durch
notariell beurkundete Erklärung auf eine solche Klage verzichtet
haben (Negativerklärung) und</w:t>
            </w:r>
          </w:p>
          <w:p>
            <w:pPr>
              <w:numPr>
                <w:ilvl w:val="0"/>
                <w:numId w:val="52009545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einer Barabfindung: Erklärung des Treuhänders, dass er im
Besitz der Gesamtsumme der Barabfindungen oder einer entsprechenden
Bankgarantie für den voraussichtlichen Zeitpunkt der Auszahlung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835208" w:name="note5"/>
            <w:bookmarkEnd w:id="89835208"/>
            <w:bookmarkStart w:id="6494475434547" w:name="note5"/>
            <w:r>
              <w:rPr>
                <w:rFonts w:ascii="Arial" w:hAnsi="Arial" w:eastAsia="Arial" w:cs="Arial"/>
                <w:b/>
                <w:bCs/>
                <w:color w:val="000000"/>
                <w:position w:val="0"/>
                <w:sz w:val="20"/>
                <w:szCs w:val="20"/>
              </w:rPr>
              <w:t xml:space="preserve">[5]</w:t>
            </w:r>
            <w:bookmarkEnd w:id="64944754345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Negativerklärung:</w:t>
            </w:r>
            <w:r>
              <w:rPr>
                <w:rFonts w:ascii="Arial" w:hAnsi="Arial" w:eastAsia="Arial" w:cs="Arial"/>
                <w:color w:val="000000"/>
                <w:position w:val="0"/>
                <w:sz w:val="20"/>
                <w:szCs w:val="20"/>
              </w:rPr>
              <w:t xml:space="preserve"> Nach § 3 Abs 1
Z 7 UmwG ist eine den Bestimmungen des § 225a AktG
entsprechende Negativerklärung der Geschäftsführung der
übertragenden Kapitalgesellschaft und des Hauptgesellschafters
vorzulegen. Die Vertretungsorgane haben diese Erklärung gemeinsam
abzugeben, sie beziehen sich aber stets nur auf Klagen gegen den
Umwandlungsbeschluss der übertragenden Kapitalgesellschaft und
einen nach § 32 AktG zu fassenden Beschluss der Haupt- oder
Generalversammlung der übernehmenden Kapitalgesellschaft. In der
GmbH ist nicht der Tag der Beschlussfassung, sondern jener der
Absendung des Beschlusses an die Gesellschafter maßgeblich.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Nichtvorlage der Negativerklärung ist nach § 19
Firmenbuchgesetz (FBG) vorzugehen.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527194" w:name="note6"/>
            <w:bookmarkEnd w:id="75527194"/>
            <w:bookmarkStart w:id="7586943537148" w:name="note6"/>
            <w:r>
              <w:rPr>
                <w:rFonts w:ascii="Arial" w:hAnsi="Arial" w:eastAsia="Arial" w:cs="Arial"/>
                <w:b/>
                <w:bCs/>
                <w:color w:val="000000"/>
                <w:position w:val="0"/>
                <w:sz w:val="20"/>
                <w:szCs w:val="20"/>
              </w:rPr>
              <w:t xml:space="preserve">[6]</w:t>
            </w:r>
            <w:bookmarkEnd w:id="758694353714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Stichtag der Umwandlungsbilanz darf höchstens neun Monate
vor der Anmeldung zum Firmenbuch liegen. Für die Eintragung einer
zulässigen Umwandlung steht es im Belieben der Gesellschaft, jeden
für die steuerrechtliche Rückwirkungsfiktion maßgeblichen Stichtag
zu wählen, sofern nur der Zeitraum von neun Monaten zwischen
Schlussbilanzstichtag und Einlangen der Anmeldung beim
Firmenbuchgericht nicht überschritten wird. Der Antrag auf
Eintragung ist bei Überschreiten dieser Frist abzuweisen (OGH
17.7.1997, 6 Ob 124/97x).</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781759" w:name="note7"/>
            <w:bookmarkEnd w:id="81781759"/>
            <w:bookmarkStart w:id="8766711138836" w:name="note7"/>
            <w:r>
              <w:rPr>
                <w:rFonts w:ascii="Arial" w:hAnsi="Arial" w:eastAsia="Arial" w:cs="Arial"/>
                <w:b/>
                <w:bCs/>
                <w:color w:val="000000"/>
                <w:position w:val="0"/>
                <w:sz w:val="20"/>
                <w:szCs w:val="20"/>
              </w:rPr>
              <w:t xml:space="preserve">[7]</w:t>
            </w:r>
            <w:bookmarkEnd w:id="87667111388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OGH leitet aus § 5 UmwG ab, dass die Gesellschafter
jedenfalls nach der Umwandlung mit demselben Prozentsatz an der neu
errichteten Gesellschaft beteiligt sein müssen, wie es bei der
übertragenden Gesellschaft der Fall war. Eine nicht
verhältniswahrende Umwandlung sei anders als im Spaltungsrecht
nicht vorgesehen. Aus dem unterschiedlichen Gesetzeswortlaut
(„nicht verhältniswahrende Spaltung“ in § 8 SpaltG gegenüber
„im gleichen Ausmaß“ in § 5 UmwG) wird aber auch gefolgert,
dass (schon nach der grammatikalischen Auslegung) der Gesetzgeber
mit dem Ausmaß auch die Quantität der Beteiligung, also die Höhe
der Einlagen, vor Augen hatte (6 Ob 335/97a).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gilt der Grundsatz der Kapitalerhaltung (siehe dazu zB 6 Ob
27/99k): Bei Umwandlung einer GmbH in eine KG muss aus Gründen der
Kapitalerhaltung die Kommanditeinlage mindestens der Stammeinlage
an der umzuwandelnden GmbH entsprechen.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0954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795284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22977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964458">
    <w:multiLevelType w:val="hybridMultilevel"/>
    <w:lvl w:ilvl="0" w:tplc="31389229">
      <w:start w:val="1"/>
      <w:numFmt w:val="decimal"/>
      <w:lvlText w:val="%1."/>
      <w:lvlJc w:val="left"/>
      <w:pPr>
        <w:ind w:left="720" w:hanging="360"/>
      </w:pPr>
    </w:lvl>
    <w:lvl w:ilvl="1" w:tplc="31389229" w:tentative="1">
      <w:start w:val="1"/>
      <w:numFmt w:val="lowerLetter"/>
      <w:lvlText w:val="%2."/>
      <w:lvlJc w:val="left"/>
      <w:pPr>
        <w:ind w:left="1440" w:hanging="360"/>
      </w:pPr>
    </w:lvl>
    <w:lvl w:ilvl="2" w:tplc="31389229" w:tentative="1">
      <w:start w:val="1"/>
      <w:numFmt w:val="lowerRoman"/>
      <w:lvlText w:val="%3."/>
      <w:lvlJc w:val="right"/>
      <w:pPr>
        <w:ind w:left="2160" w:hanging="180"/>
      </w:pPr>
    </w:lvl>
    <w:lvl w:ilvl="3" w:tplc="31389229" w:tentative="1">
      <w:start w:val="1"/>
      <w:numFmt w:val="decimal"/>
      <w:lvlText w:val="%4."/>
      <w:lvlJc w:val="left"/>
      <w:pPr>
        <w:ind w:left="2880" w:hanging="360"/>
      </w:pPr>
    </w:lvl>
    <w:lvl w:ilvl="4" w:tplc="31389229" w:tentative="1">
      <w:start w:val="1"/>
      <w:numFmt w:val="lowerLetter"/>
      <w:lvlText w:val="%5."/>
      <w:lvlJc w:val="left"/>
      <w:pPr>
        <w:ind w:left="3600" w:hanging="360"/>
      </w:pPr>
    </w:lvl>
    <w:lvl w:ilvl="5" w:tplc="31389229" w:tentative="1">
      <w:start w:val="1"/>
      <w:numFmt w:val="lowerRoman"/>
      <w:lvlText w:val="%6."/>
      <w:lvlJc w:val="right"/>
      <w:pPr>
        <w:ind w:left="4320" w:hanging="180"/>
      </w:pPr>
    </w:lvl>
    <w:lvl w:ilvl="6" w:tplc="31389229" w:tentative="1">
      <w:start w:val="1"/>
      <w:numFmt w:val="decimal"/>
      <w:lvlText w:val="%7."/>
      <w:lvlJc w:val="left"/>
      <w:pPr>
        <w:ind w:left="5040" w:hanging="360"/>
      </w:pPr>
    </w:lvl>
    <w:lvl w:ilvl="7" w:tplc="31389229" w:tentative="1">
      <w:start w:val="1"/>
      <w:numFmt w:val="lowerLetter"/>
      <w:lvlText w:val="%8."/>
      <w:lvlJc w:val="left"/>
      <w:pPr>
        <w:ind w:left="5760" w:hanging="360"/>
      </w:pPr>
    </w:lvl>
    <w:lvl w:ilvl="8" w:tplc="31389229" w:tentative="1">
      <w:start w:val="1"/>
      <w:numFmt w:val="lowerRoman"/>
      <w:lvlText w:val="%9."/>
      <w:lvlJc w:val="right"/>
      <w:pPr>
        <w:ind w:left="6480" w:hanging="180"/>
      </w:pPr>
    </w:lvl>
  </w:abstractNum>
  <w:abstractNum w:abstractNumId="46964457">
    <w:multiLevelType w:val="hybridMultilevel"/>
    <w:lvl w:ilvl="0" w:tplc="39279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64457">
    <w:abstractNumId w:val="46964457"/>
  </w:num>
  <w:num w:numId="46964458">
    <w:abstractNumId w:val="46964458"/>
  </w:num>
  <w:num w:numId="92229770">
    <w:abstractNumId w:val="92229770"/>
  </w:num>
  <w:num w:numId="579528452">
    <w:abstractNumId w:val="579528452"/>
  </w:num>
  <w:num w:numId="520095458">
    <w:abstractNumId w:val="520095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82059404" Type="http://schemas.openxmlformats.org/officeDocument/2006/relationships/numbering" Target="numbering.xml"/><Relationship Id="rId76910875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