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5430107" w:name="document"/>
    <w:bookmarkEnd w:id="65430107"/>
    <w:p/>
    <w:p>
      <w:pPr>
        <w:widowControl w:val="on"/>
        <w:pBdr/>
        <w:spacing w:before="0" w:after="280" w:line="240" w:lineRule="auto"/>
        <w:ind w:left="0" w:right="0"/>
        <w:jc w:val="left"/>
      </w:pPr>
      <w:r>
        <w:rPr>
          <w:rFonts w:ascii="Arial" w:hAnsi="Arial" w:eastAsia="Arial" w:cs="Arial"/>
          <w:color w:val="363A40"/>
          <w:sz w:val="24"/>
          <w:szCs w:val="24"/>
        </w:rPr>
        <w:t xml:space="preserve">Dokument-ID: 799673 | Wolfgang List - Fiona
Aurelia List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Eigentumsfreiheitsklage</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Schwechat</w:t>
      </w:r>
      <w:r>
        <w:rPr>
          <w:rFonts w:ascii="Arial" w:hAnsi="Arial" w:eastAsia="Arial" w:cs="Arial"/>
          <w:color w:val="000000"/>
          <w:sz w:val="20"/>
          <w:szCs w:val="20"/>
        </w:rPr>
        <w:br/>
        <w:t xml:space="preserve">Schloßstraße 7</w:t>
      </w:r>
      <w:r>
        <w:rPr>
          <w:rFonts w:ascii="Arial" w:hAnsi="Arial" w:eastAsia="Arial" w:cs="Arial"/>
          <w:color w:val="000000"/>
          <w:sz w:val="20"/>
          <w:szCs w:val="20"/>
        </w:rPr>
        <w:br/>
        <w:t xml:space="preserve">2320 Schwechat</w:t>
      </w:r>
    </w:p>
    <w:p>
      <w:pPr>
        <w:widowControl w:val="on"/>
        <w:pBdr/>
        <w:spacing w:before="140" w:after="240" w:line="288" w:lineRule="auto"/>
        <w:ind w:left="0" w:right="0"/>
        <w:jc w:val="right"/>
      </w:pPr>
      <w:r>
        <w:rPr>
          <w:rFonts w:ascii="Arial" w:hAnsi="Arial" w:eastAsia="Arial" w:cs="Arial"/>
          <w:color w:val="000000"/>
          <w:sz w:val="20"/>
          <w:szCs w:val="20"/>
        </w:rPr>
        <w:t xml:space="preserve">Wien, am 1. Dezember 2015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Anton Eigentum</w:t>
            </w:r>
            <w:r>
              <w:rPr>
                <w:rFonts w:ascii="Arial" w:hAnsi="Arial" w:eastAsia="Arial" w:cs="Arial"/>
                <w:color w:val="000000"/>
                <w:position w:val="0"/>
                <w:sz w:val="20"/>
                <w:szCs w:val="20"/>
                <w:shd w:val="clear" w:color="auto" w:fill="FFFFFF"/>
              </w:rPr>
              <w:br/>
              <w:t xml:space="preserve">Michael Dachler-Straße 2000/1</w:t>
            </w:r>
            <w:r>
              <w:rPr>
                <w:rFonts w:ascii="Arial" w:hAnsi="Arial" w:eastAsia="Arial" w:cs="Arial"/>
                <w:color w:val="000000"/>
                <w:position w:val="0"/>
                <w:sz w:val="20"/>
                <w:szCs w:val="20"/>
                <w:shd w:val="clear" w:color="auto" w:fill="FFFFFF"/>
              </w:rPr>
              <w:br/>
              <w:t xml:space="preserve">3333 Leopoldsdorf</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Freiheit Rechtsanwalts GmbH</w:t>
            </w:r>
            <w:r>
              <w:rPr>
                <w:rFonts w:ascii="Arial" w:hAnsi="Arial" w:eastAsia="Arial" w:cs="Arial"/>
                <w:color w:val="000000"/>
                <w:position w:val="0"/>
                <w:sz w:val="20"/>
                <w:szCs w:val="20"/>
                <w:shd w:val="clear" w:color="auto" w:fill="FFFFFF"/>
              </w:rPr>
              <w:br/>
              <w:t xml:space="preserve">Weimarer Straße 55/1</w:t>
            </w:r>
            <w:r>
              <w:rPr>
                <w:rFonts w:ascii="Arial" w:hAnsi="Arial" w:eastAsia="Arial" w:cs="Arial"/>
                <w:color w:val="000000"/>
                <w:position w:val="0"/>
                <w:sz w:val="20"/>
                <w:szCs w:val="20"/>
                <w:shd w:val="clear" w:color="auto" w:fill="FFFFFF"/>
              </w:rPr>
              <w:br/>
              <w:t xml:space="preserve">1180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 einschließlich Vollmacht gem § 19a
RAO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Gustav Schlimm</w:t>
            </w:r>
            <w:r>
              <w:rPr>
                <w:rFonts w:ascii="Arial" w:hAnsi="Arial" w:eastAsia="Arial" w:cs="Arial"/>
                <w:color w:val="000000"/>
                <w:position w:val="0"/>
                <w:sz w:val="20"/>
                <w:szCs w:val="20"/>
                <w:shd w:val="clear" w:color="auto" w:fill="FFFFFF"/>
              </w:rPr>
              <w:br/>
              <w:t xml:space="preserve">Michael Dachler-Straße 2000/1</w:t>
            </w:r>
            <w:r>
              <w:rPr>
                <w:rFonts w:ascii="Arial" w:hAnsi="Arial" w:eastAsia="Arial" w:cs="Arial"/>
                <w:color w:val="000000"/>
                <w:position w:val="0"/>
                <w:sz w:val="20"/>
                <w:szCs w:val="20"/>
                <w:shd w:val="clear" w:color="auto" w:fill="FFFFFF"/>
              </w:rPr>
              <w:br/>
              <w:t xml:space="preserve">3333 Leopoldsdorf</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Beseitigung und Unterlassung (Streitwert EUR 7.700,– gem
RATG)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Eigentumsfreiheitsklage gem
§ 523 ABGB</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1 HS</w:t>
      </w:r>
      <w:r>
        <w:rPr>
          <w:rFonts w:ascii="Arial" w:hAnsi="Arial" w:eastAsia="Arial" w:cs="Arial"/>
          <w:color w:val="000000"/>
          <w:sz w:val="20"/>
          <w:szCs w:val="20"/>
        </w:rPr>
        <w:br/>
        <w:t xml:space="preserve">Beilagen ./A bis ./B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gibt die klagende Partei
bekannt, dass die Freiheit Rechtsanwalts GmbH mit der
Rechtsvertretung der klagenden Partei beauftragt und bevollmächtigt
wurde.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Eigentümerin von 101/2072 Anteilen des
Liegenschaftsanteils EZ 1462, KG 05210 Leopoldsdorf, mit denen
Wohnungeigentum an W 1 untrennbar verbunden ist, mit der
Grundstücksadresse Michael Dachler-Straße 2000/1, 3333 Leopoldsdorf
bei Wien. Die beklagte Partei ist Eigentümerin von 103/2072
Anteilen des Liegenschaftsanteils EZ 1462, KG 05210 Leopoldsdorf,
mit denen Wohnungeigentum an W 2 untrennbar verbunden ist, mit der
Grundstücksadresse Michael Dachler-Straße 2000/2, 3333 Leopoldsdorf
bei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Grundbuchauszug (Beilage ./A)</w:t>
            </w:r>
          </w:p>
        </w:tc>
      </w:tr>
    </w:tbl>
    <w:p>
      <w:pPr>
        <w:widowControl w:val="on"/>
        <w:pBdr/>
        <w:spacing w:before="140" w:after="240" w:line="288" w:lineRule="auto"/>
        <w:ind w:left="0" w:right="0"/>
        <w:jc w:val="left"/>
      </w:pPr>
      <w:r>
        <w:rPr>
          <w:rFonts w:ascii="Arial" w:hAnsi="Arial" w:eastAsia="Arial" w:cs="Arial"/>
          <w:color w:val="000000"/>
          <w:sz w:val="20"/>
          <w:szCs w:val="20"/>
        </w:rPr>
        <w:t xml:space="preserve">Fakt ist, dass die Parteien einen Garten gemeinsam benützen. In
diesem wurden durch die beklagte Partei diverse Sträucher und ein
Baum gepflanzt. Die beklagte Partei hat weder eine Beschlussfassung
(§ 29 Abs 1 WEG) noch eine entsprechende
Benützungsregelung (§ 17 WEG 2002) erwirkt. Festgehalten
werden kann, dass die beklagte Partei dies vollkommen eigenmächtig
und ohne den Willen der klagenden Partei vollzogen hat.</w:t>
      </w:r>
    </w:p>
    <w:p>
      <w:pPr>
        <w:widowControl w:val="on"/>
        <w:pBdr/>
        <w:spacing w:before="140" w:after="240" w:line="288" w:lineRule="auto"/>
        <w:ind w:left="0" w:right="0"/>
        <w:jc w:val="left"/>
      </w:pPr>
      <w:r>
        <w:rPr>
          <w:rFonts w:ascii="Arial" w:hAnsi="Arial" w:eastAsia="Arial" w:cs="Arial"/>
          <w:color w:val="000000"/>
          <w:sz w:val="20"/>
          <w:szCs w:val="20"/>
        </w:rPr>
        <w:t xml:space="preserve">Gepflanzt wurden ein Palmkatzenstrauch, danach drei weitere
Sträucher und darüber hinaus ein Tannenbaum.</w:t>
      </w:r>
    </w:p>
    <w:p>
      <w:pPr>
        <w:widowControl w:val="on"/>
        <w:pBdr/>
        <w:spacing w:before="140" w:after="240" w:line="288" w:lineRule="auto"/>
        <w:ind w:left="0" w:right="0"/>
        <w:jc w:val="left"/>
      </w:pPr>
      <w:r>
        <w:rPr>
          <w:rFonts w:ascii="Arial" w:hAnsi="Arial" w:eastAsia="Arial" w:cs="Arial"/>
          <w:color w:val="000000"/>
          <w:sz w:val="20"/>
          <w:szCs w:val="20"/>
        </w:rPr>
        <w:t xml:space="preserve">Die Wohnung der klagenden Partei befindet sich im Erdgeschoss
mit direktem Gartenzugang. Die Pflanzen wurden in unmittelbarer
Nähe des Gartenzuganges gepflanzt. Aufgrund der neuen Pflanzen ist
die Terrasse der klagenden Partei mit Schatten überdeckt.</w:t>
      </w:r>
    </w:p>
    <w:p>
      <w:pPr>
        <w:widowControl w:val="on"/>
        <w:pBdr/>
        <w:spacing w:before="140" w:after="240" w:line="288" w:lineRule="auto"/>
        <w:ind w:left="0" w:right="0"/>
        <w:jc w:val="left"/>
      </w:pPr>
      <w:r>
        <w:rPr>
          <w:rFonts w:ascii="Arial" w:hAnsi="Arial" w:eastAsia="Arial" w:cs="Arial"/>
          <w:color w:val="000000"/>
          <w:sz w:val="20"/>
          <w:szCs w:val="20"/>
        </w:rPr>
        <w:t xml:space="preserve">Insbesondere bei starkem Wind aus Richtung Westen bzw Nordwesten
werden von den gegenständlichen Sträuchern Nadeln und Zweige auf
die Liegenschaft der klagenden Partei geweht. Die Nadeln sind auf
der gesamten Terrasse der klagenden Partei wahrnehmbar und diese
ist dadurch von einer massiven Verschmutzung betroffen. Die
klagende Partei ist regelmäßig damit beschäftigt die Nadeln und
Äste zu entfernen sowie die Terrasse entsprechend wiederkehrend zu
reinigen.</w:t>
      </w:r>
    </w:p>
    <w:p>
      <w:pPr>
        <w:widowControl w:val="on"/>
        <w:pBdr/>
        <w:spacing w:before="140" w:after="240" w:line="288" w:lineRule="auto"/>
        <w:ind w:left="0" w:right="0"/>
        <w:jc w:val="left"/>
      </w:pPr>
      <w:r>
        <w:rPr>
          <w:rFonts w:ascii="Arial" w:hAnsi="Arial" w:eastAsia="Arial" w:cs="Arial"/>
          <w:color w:val="000000"/>
          <w:sz w:val="20"/>
          <w:szCs w:val="20"/>
        </w:rPr>
        <w:t xml:space="preserve">Aufgrund der massiven Verschmutzung ist es der klagenden Partei
nicht möglich, die Terrasse widmungsgemäß zur Erholung zu nutzen,
sondern ist stets damit konfrontiert, Reinigungsarbeiten
durchzuführen.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Durchzuführender Ortsaugenschein</w:t>
            </w:r>
            <w:r>
              <w:rPr>
                <w:rFonts w:ascii="Arial" w:hAnsi="Arial" w:eastAsia="Arial" w:cs="Arial"/>
                <w:color w:val="000000"/>
                <w:position w:val="0"/>
                <w:sz w:val="20"/>
                <w:szCs w:val="20"/>
                <w:shd w:val="clear" w:color="auto" w:fill="FFFFFF"/>
              </w:rPr>
              <w:br/>
              <w:t xml:space="preserve">Fotokonvolut (Beilage ./B)</w:t>
            </w:r>
            <w:r>
              <w:rPr>
                <w:rFonts w:ascii="Arial" w:hAnsi="Arial" w:eastAsia="Arial" w:cs="Arial"/>
                <w:color w:val="000000"/>
                <w:position w:val="0"/>
                <w:sz w:val="20"/>
                <w:szCs w:val="20"/>
                <w:shd w:val="clear" w:color="auto" w:fill="FFFFFF"/>
              </w:rPr>
              <w:br/>
              <w:t xml:space="preserve">PV</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Rechtliche Begründung</w:t>
      </w:r>
    </w:p>
    <w:p>
      <w:pPr>
        <w:widowControl w:val="on"/>
        <w:pBdr/>
        <w:spacing w:before="140" w:after="240" w:line="288" w:lineRule="auto"/>
        <w:ind w:left="0" w:right="0"/>
        <w:jc w:val="left"/>
      </w:pPr>
      <w:r>
        <w:rPr>
          <w:rFonts w:ascii="Arial" w:hAnsi="Arial" w:eastAsia="Arial" w:cs="Arial"/>
          <w:color w:val="000000"/>
          <w:sz w:val="20"/>
          <w:szCs w:val="20"/>
        </w:rPr>
        <w:t xml:space="preserve">Den Wohnungseigentümern steht an sämtlichen der allgemeinen
Benützung dienenden Liegenschaftsanteilen gem § 828 ABGB ein
Gebrauchsrecht zu. Beschränkt wird dieses Recht durch den
Mitgebrauch der übrigen Wohnungseigentümer. Es sind beide Parteien
berechtigt, den gegenständlichen Garten zu benützen. Im Zuge der
Pflanzung hat die beklagte Partei ein ihr nicht zustehendes
Gebrauchsrecht an einem Teil vollzogen und dadurch in das
Miteigentum der klagenden Partei eingegriffen.</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hat zu keinem Zeitpunkt die Zustimmung der
klagenden Partei eingeholt. Darüber hinaus kann der Eingriff in das
Miteigentum auf keine erdenkliche Rechtsgrundlage gestützt werden.
Der vorliegende Eingriff in das Miteigentum an den der gemeinsamen
Benützung dienenden Liegenschaftsanteilen war unzulässig und kann
mit der Eigentumsfreiheitsklage gem § 523 ABGB abgewehrt
werden.</w:t>
      </w:r>
    </w:p>
    <w:p>
      <w:pPr>
        <w:widowControl w:val="on"/>
        <w:pBdr/>
        <w:spacing w:before="140" w:after="240" w:line="288" w:lineRule="auto"/>
        <w:ind w:left="0" w:right="0"/>
        <w:jc w:val="left"/>
      </w:pPr>
      <w:r>
        <w:rPr>
          <w:rFonts w:ascii="Arial" w:hAnsi="Arial" w:eastAsia="Arial" w:cs="Arial"/>
          <w:color w:val="000000"/>
          <w:sz w:val="20"/>
          <w:szCs w:val="20"/>
        </w:rPr>
        <w:t xml:space="preserve">Das Einpflanzen diverser Sträucher und des Baumes im gemeinsamen
Garten setzt einen rechtswirksamen Mehrheitsbeschluss gem § 29
Abs 1 WEG 2002 voraus. Fakt ist, dass ein solcher nicht
vorliegt, weshalb auch nur ein einziger Miteigentümer die
Entfernung der Pflanzen begehren kann.</w:t>
      </w:r>
    </w:p>
    <w:p>
      <w:pPr>
        <w:widowControl w:val="on"/>
        <w:pBdr/>
        <w:spacing w:before="140" w:after="240" w:line="288" w:lineRule="auto"/>
        <w:ind w:left="0" w:right="0"/>
        <w:jc w:val="left"/>
      </w:pPr>
      <w:r>
        <w:rPr>
          <w:rFonts w:ascii="Arial" w:hAnsi="Arial" w:eastAsia="Arial" w:cs="Arial"/>
          <w:color w:val="000000"/>
          <w:sz w:val="20"/>
          <w:szCs w:val="20"/>
        </w:rPr>
        <w:t xml:space="preserve">In 4 Ob 43/11v hat der OGH festgehalten, dass Eigentümer gem
§ 354 (§ 362) ABGB nicht nur befugt sind, gegen den
Pflanzeneigentümer unberechtigte Eingriffe in das Eigentumsrecht
mit Klage nach § 523 ABGB geltend zu machen, sondern auch die
Entfernung der Pflanzen verlangen können.</w:t>
      </w:r>
    </w:p>
    <w:p>
      <w:pPr>
        <w:widowControl w:val="on"/>
        <w:pBdr/>
        <w:spacing w:before="140" w:after="240" w:line="288" w:lineRule="auto"/>
        <w:ind w:left="0" w:right="0"/>
        <w:jc w:val="left"/>
      </w:pPr>
      <w:r>
        <w:rPr>
          <w:rFonts w:ascii="Arial" w:hAnsi="Arial" w:eastAsia="Arial" w:cs="Arial"/>
          <w:color w:val="000000"/>
          <w:sz w:val="20"/>
          <w:szCs w:val="20"/>
        </w:rPr>
        <w:t xml:space="preserve">Es besteht Wiederholungsgefahr bzw die Gefahr, dass die beklagte
Partei ihr Verhalten wiederholt.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3. Urteilsbegehren</w:t>
      </w:r>
    </w:p>
    <w:p>
      <w:pPr>
        <w:widowControl w:val="on"/>
        <w:pBdr/>
        <w:spacing w:before="140" w:after="240" w:line="288" w:lineRule="auto"/>
        <w:ind w:left="0" w:right="0"/>
        <w:jc w:val="left"/>
      </w:pPr>
      <w:r>
        <w:rPr>
          <w:rFonts w:ascii="Arial" w:hAnsi="Arial" w:eastAsia="Arial" w:cs="Arial"/>
          <w:color w:val="000000"/>
          <w:sz w:val="20"/>
          <w:szCs w:val="20"/>
        </w:rPr>
        <w:t xml:space="preserve">Sohin stellt die klagende Partei den Antrag folgendes Urteil zu
fällen: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numPr>
          <w:ilvl w:val="0"/>
          <w:numId w:val="5909513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binnen 14 Tagen bei sonstiger
Exekution die von ihr im Garten des Hauses 2333 Leopoldsdorf,
Michael Dachler-Straße 2000, eingepflanzten Sträucher und den Baum
zu entfernen und es ab sofort zu unterlassen, im Garten Pflanzen
einzusetzen.</w:t>
      </w:r>
    </w:p>
    <w:p>
      <w:pPr>
        <w:numPr>
          <w:ilvl w:val="0"/>
          <w:numId w:val="5909513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den klagenden Parteien die
Prozesskosten gem § 19a RAO zuhanden des Klagevertreters
binnen 14 Tagen bei sonstiger Exekution zu ersetzen.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Anton Eigentum</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95138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8571331">
    <w:multiLevelType w:val="hybridMultilevel"/>
    <w:lvl w:ilvl="0" w:tplc="37913855">
      <w:start w:val="1"/>
      <w:numFmt w:val="decimal"/>
      <w:lvlText w:val="%1."/>
      <w:lvlJc w:val="left"/>
      <w:pPr>
        <w:ind w:left="720" w:hanging="360"/>
      </w:pPr>
    </w:lvl>
    <w:lvl w:ilvl="1" w:tplc="37913855" w:tentative="1">
      <w:start w:val="1"/>
      <w:numFmt w:val="lowerLetter"/>
      <w:lvlText w:val="%2."/>
      <w:lvlJc w:val="left"/>
      <w:pPr>
        <w:ind w:left="1440" w:hanging="360"/>
      </w:pPr>
    </w:lvl>
    <w:lvl w:ilvl="2" w:tplc="37913855" w:tentative="1">
      <w:start w:val="1"/>
      <w:numFmt w:val="lowerRoman"/>
      <w:lvlText w:val="%3."/>
      <w:lvlJc w:val="right"/>
      <w:pPr>
        <w:ind w:left="2160" w:hanging="180"/>
      </w:pPr>
    </w:lvl>
    <w:lvl w:ilvl="3" w:tplc="37913855" w:tentative="1">
      <w:start w:val="1"/>
      <w:numFmt w:val="decimal"/>
      <w:lvlText w:val="%4."/>
      <w:lvlJc w:val="left"/>
      <w:pPr>
        <w:ind w:left="2880" w:hanging="360"/>
      </w:pPr>
    </w:lvl>
    <w:lvl w:ilvl="4" w:tplc="37913855" w:tentative="1">
      <w:start w:val="1"/>
      <w:numFmt w:val="lowerLetter"/>
      <w:lvlText w:val="%5."/>
      <w:lvlJc w:val="left"/>
      <w:pPr>
        <w:ind w:left="3600" w:hanging="360"/>
      </w:pPr>
    </w:lvl>
    <w:lvl w:ilvl="5" w:tplc="37913855" w:tentative="1">
      <w:start w:val="1"/>
      <w:numFmt w:val="lowerRoman"/>
      <w:lvlText w:val="%6."/>
      <w:lvlJc w:val="right"/>
      <w:pPr>
        <w:ind w:left="4320" w:hanging="180"/>
      </w:pPr>
    </w:lvl>
    <w:lvl w:ilvl="6" w:tplc="37913855" w:tentative="1">
      <w:start w:val="1"/>
      <w:numFmt w:val="decimal"/>
      <w:lvlText w:val="%7."/>
      <w:lvlJc w:val="left"/>
      <w:pPr>
        <w:ind w:left="5040" w:hanging="360"/>
      </w:pPr>
    </w:lvl>
    <w:lvl w:ilvl="7" w:tplc="37913855" w:tentative="1">
      <w:start w:val="1"/>
      <w:numFmt w:val="lowerLetter"/>
      <w:lvlText w:val="%8."/>
      <w:lvlJc w:val="left"/>
      <w:pPr>
        <w:ind w:left="5760" w:hanging="360"/>
      </w:pPr>
    </w:lvl>
    <w:lvl w:ilvl="8" w:tplc="37913855" w:tentative="1">
      <w:start w:val="1"/>
      <w:numFmt w:val="lowerRoman"/>
      <w:lvlText w:val="%9."/>
      <w:lvlJc w:val="right"/>
      <w:pPr>
        <w:ind w:left="6480" w:hanging="180"/>
      </w:pPr>
    </w:lvl>
  </w:abstractNum>
  <w:abstractNum w:abstractNumId="40106532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8571330">
    <w:multiLevelType w:val="hybridMultilevel"/>
    <w:lvl w:ilvl="0" w:tplc="36535138">
      <w:start w:val="1"/>
      <w:numFmt w:val="decimal"/>
      <w:lvlText w:val="%1."/>
      <w:lvlJc w:val="left"/>
      <w:pPr>
        <w:ind w:left="720" w:hanging="360"/>
      </w:pPr>
    </w:lvl>
    <w:lvl w:ilvl="1" w:tplc="36535138" w:tentative="1">
      <w:start w:val="1"/>
      <w:numFmt w:val="lowerLetter"/>
      <w:lvlText w:val="%2."/>
      <w:lvlJc w:val="left"/>
      <w:pPr>
        <w:ind w:left="1440" w:hanging="360"/>
      </w:pPr>
    </w:lvl>
    <w:lvl w:ilvl="2" w:tplc="36535138" w:tentative="1">
      <w:start w:val="1"/>
      <w:numFmt w:val="lowerRoman"/>
      <w:lvlText w:val="%3."/>
      <w:lvlJc w:val="right"/>
      <w:pPr>
        <w:ind w:left="2160" w:hanging="180"/>
      </w:pPr>
    </w:lvl>
    <w:lvl w:ilvl="3" w:tplc="36535138" w:tentative="1">
      <w:start w:val="1"/>
      <w:numFmt w:val="decimal"/>
      <w:lvlText w:val="%4."/>
      <w:lvlJc w:val="left"/>
      <w:pPr>
        <w:ind w:left="2880" w:hanging="360"/>
      </w:pPr>
    </w:lvl>
    <w:lvl w:ilvl="4" w:tplc="36535138" w:tentative="1">
      <w:start w:val="1"/>
      <w:numFmt w:val="lowerLetter"/>
      <w:lvlText w:val="%5."/>
      <w:lvlJc w:val="left"/>
      <w:pPr>
        <w:ind w:left="3600" w:hanging="360"/>
      </w:pPr>
    </w:lvl>
    <w:lvl w:ilvl="5" w:tplc="36535138" w:tentative="1">
      <w:start w:val="1"/>
      <w:numFmt w:val="lowerRoman"/>
      <w:lvlText w:val="%6."/>
      <w:lvlJc w:val="right"/>
      <w:pPr>
        <w:ind w:left="4320" w:hanging="180"/>
      </w:pPr>
    </w:lvl>
    <w:lvl w:ilvl="6" w:tplc="36535138" w:tentative="1">
      <w:start w:val="1"/>
      <w:numFmt w:val="decimal"/>
      <w:lvlText w:val="%7."/>
      <w:lvlJc w:val="left"/>
      <w:pPr>
        <w:ind w:left="5040" w:hanging="360"/>
      </w:pPr>
    </w:lvl>
    <w:lvl w:ilvl="7" w:tplc="36535138" w:tentative="1">
      <w:start w:val="1"/>
      <w:numFmt w:val="lowerLetter"/>
      <w:lvlText w:val="%8."/>
      <w:lvlJc w:val="left"/>
      <w:pPr>
        <w:ind w:left="5760" w:hanging="360"/>
      </w:pPr>
    </w:lvl>
    <w:lvl w:ilvl="8" w:tplc="36535138" w:tentative="1">
      <w:start w:val="1"/>
      <w:numFmt w:val="lowerRoman"/>
      <w:lvlText w:val="%9."/>
      <w:lvlJc w:val="right"/>
      <w:pPr>
        <w:ind w:left="6480" w:hanging="180"/>
      </w:pPr>
    </w:lvl>
  </w:abstractNum>
  <w:abstractNum w:abstractNumId="28571329">
    <w:multiLevelType w:val="hybridMultilevel"/>
    <w:lvl w:ilvl="0" w:tplc="72786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71329">
    <w:abstractNumId w:val="28571329"/>
  </w:num>
  <w:num w:numId="28571330">
    <w:abstractNumId w:val="28571330"/>
  </w:num>
  <w:num w:numId="401065326">
    <w:abstractNumId w:val="401065326"/>
  </w:num>
  <w:num w:numId="28571331">
    <w:abstractNumId w:val="28571331"/>
  </w:num>
  <w:num w:numId="590951384">
    <w:abstractNumId w:val="590951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54366711" Type="http://schemas.openxmlformats.org/officeDocument/2006/relationships/numbering" Target="numbering.xml"/><Relationship Id="rId6675345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