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8919379" w:name="document"/>
    <w:bookmarkEnd w:id="18919379"/>
    <w:p/>
    <w:p>
      <w:pPr>
        <w:widowControl w:val="on"/>
        <w:pBdr/>
        <w:spacing w:before="0" w:after="280" w:line="240" w:lineRule="auto"/>
        <w:ind w:left="0" w:right="0"/>
        <w:jc w:val="left"/>
      </w:pPr>
      <w:r>
        <w:rPr>
          <w:rFonts w:ascii="Arial" w:hAnsi="Arial" w:eastAsia="Arial" w:cs="Arial"/>
          <w:color w:val="363A40"/>
          <w:sz w:val="24"/>
          <w:szCs w:val="24"/>
        </w:rPr>
        <w:t xml:space="preserve">Dokument-ID: 972153 | FORUM Media (red)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Non Disclosure and Non-use Agreement</w:t>
      </w:r>
    </w:p>
    <w:p>
      <w:pPr>
        <w:widowControl w:val="on"/>
        <w:pBdr/>
        <w:spacing w:before="140" w:after="240" w:line="288" w:lineRule="auto"/>
        <w:ind w:left="0" w:right="0"/>
        <w:jc w:val="left"/>
      </w:pPr>
      <w:r>
        <w:rPr>
          <w:rFonts w:ascii="Arial" w:hAnsi="Arial" w:eastAsia="Arial" w:cs="Arial"/>
          <w:color w:val="000000"/>
          <w:sz w:val="20"/>
          <w:szCs w:val="20"/>
        </w:rPr>
        <w:t xml:space="preserve">entered into by and between</w:t>
      </w:r>
    </w:p>
    <w:p>
      <w:pPr>
        <w:widowControl w:val="on"/>
        <w:pBdr/>
        <w:spacing w:before="140" w:after="240" w:line="288" w:lineRule="auto"/>
        <w:ind w:left="0" w:right="0"/>
        <w:jc w:val="left"/>
      </w:pPr>
      <w:r>
        <w:rPr>
          <w:rFonts w:ascii="Arial" w:hAnsi="Arial" w:eastAsia="Arial" w:cs="Arial"/>
          <w:color w:val="000000"/>
          <w:sz w:val="20"/>
          <w:szCs w:val="20"/>
        </w:rPr>
        <w:t xml:space="preserve">Company X</w:t>
      </w:r>
      <w:r>
        <w:rPr>
          <w:rFonts w:ascii="Arial" w:hAnsi="Arial" w:eastAsia="Arial" w:cs="Arial"/>
          <w:color w:val="000000"/>
          <w:sz w:val="20"/>
          <w:szCs w:val="20"/>
        </w:rPr>
        <w:br/>
        <w:t xml:space="preserve">registered in the Commercial Register of the Local Court of
…,</w:t>
      </w:r>
      <w:r>
        <w:rPr>
          <w:rFonts w:ascii="Arial" w:hAnsi="Arial" w:eastAsia="Arial" w:cs="Arial"/>
          <w:color w:val="000000"/>
          <w:sz w:val="20"/>
          <w:szCs w:val="20"/>
        </w:rPr>
        <w:br/>
        <w:t xml:space="preserve">represented by its managing director …,</w:t>
      </w:r>
      <w:r>
        <w:rPr>
          <w:rFonts w:ascii="Arial" w:hAnsi="Arial" w:eastAsia="Arial" w:cs="Arial"/>
          <w:color w:val="000000"/>
          <w:sz w:val="20"/>
          <w:szCs w:val="20"/>
        </w:rPr>
        <w:br/>
        <w:t xml:space="preserve">hereinafter referred to as „Offerer“</w:t>
      </w:r>
    </w:p>
    <w:p>
      <w:pPr>
        <w:widowControl w:val="on"/>
        <w:pBdr/>
        <w:spacing w:before="140" w:after="240" w:line="288" w:lineRule="auto"/>
        <w:ind w:left="0" w:right="0"/>
        <w:jc w:val="left"/>
      </w:pPr>
      <w:r>
        <w:rPr>
          <w:rFonts w:ascii="Arial" w:hAnsi="Arial" w:eastAsia="Arial" w:cs="Arial"/>
          <w:color w:val="000000"/>
          <w:sz w:val="20"/>
          <w:szCs w:val="20"/>
        </w:rPr>
        <w:t xml:space="preserve">and</w:t>
      </w:r>
    </w:p>
    <w:p>
      <w:pPr>
        <w:widowControl w:val="on"/>
        <w:pBdr/>
        <w:spacing w:before="140" w:after="240" w:line="288" w:lineRule="auto"/>
        <w:ind w:left="0" w:right="0"/>
        <w:jc w:val="left"/>
      </w:pPr>
      <w:r>
        <w:rPr>
          <w:rFonts w:ascii="Arial" w:hAnsi="Arial" w:eastAsia="Arial" w:cs="Arial"/>
          <w:color w:val="000000"/>
          <w:sz w:val="20"/>
          <w:szCs w:val="20"/>
        </w:rPr>
        <w:t xml:space="preserve">Company Y</w:t>
      </w:r>
      <w:r>
        <w:rPr>
          <w:rFonts w:ascii="Arial" w:hAnsi="Arial" w:eastAsia="Arial" w:cs="Arial"/>
          <w:color w:val="000000"/>
          <w:sz w:val="20"/>
          <w:szCs w:val="20"/>
        </w:rPr>
        <w:br/>
        <w:t xml:space="preserve">registered in the Commercial Register of the Local Court of
…,</w:t>
      </w:r>
      <w:r>
        <w:rPr>
          <w:rFonts w:ascii="Arial" w:hAnsi="Arial" w:eastAsia="Arial" w:cs="Arial"/>
          <w:color w:val="000000"/>
          <w:sz w:val="20"/>
          <w:szCs w:val="20"/>
        </w:rPr>
        <w:br/>
        <w:t xml:space="preserve">represented by its managing director …,</w:t>
      </w:r>
      <w:r>
        <w:rPr>
          <w:rFonts w:ascii="Arial" w:hAnsi="Arial" w:eastAsia="Arial" w:cs="Arial"/>
          <w:color w:val="000000"/>
          <w:sz w:val="20"/>
          <w:szCs w:val="20"/>
        </w:rPr>
        <w:br/>
        <w:t xml:space="preserve">hereinafter referred to as „Manufacturer“.</w:t>
      </w:r>
    </w:p>
    <w:p>
      <w:pPr>
        <w:widowControl w:val="on"/>
        <w:pBdr/>
        <w:spacing w:before="140" w:after="240" w:line="288" w:lineRule="auto"/>
        <w:ind w:left="0" w:right="0"/>
        <w:jc w:val="left"/>
      </w:pPr>
      <w:r>
        <w:rPr>
          <w:rFonts w:ascii="Arial" w:hAnsi="Arial" w:eastAsia="Arial" w:cs="Arial"/>
          <w:color w:val="000000"/>
          <w:sz w:val="20"/>
          <w:szCs w:val="20"/>
        </w:rPr>
        <w:t xml:space="preserve">The Manufacturer and the Offerer are hereinafter partly referred
to individually as „Party“ and jointly as „Parties“. This Non
Disclosure and Non-use Agreement is hereinafter referred to as
„Agreement“.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Preamble</w:t>
      </w:r>
    </w:p>
    <w:p>
      <w:pPr>
        <w:numPr>
          <w:ilvl w:val="0"/>
          <w:numId w:val="1406788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Manufacturer is one of the leading manufacturers of
electrical appliances worldwide and has a large development centre
as well as the latest production technologies.</w:t>
      </w:r>
    </w:p>
    <w:p>
      <w:pPr>
        <w:numPr>
          <w:ilvl w:val="0"/>
          <w:numId w:val="1406788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Offerer is the owner of all rights to an invention relating
to cooling systems on which a patent application has been filed,
which is hereinafter referred to as the „Contractual Invention“. An
international patent application was filed on the Contractual
Invention under the number … on … and is described in detail in
Schedule ./A which forms an integral part of this Agreement.</w:t>
      </w:r>
    </w:p>
    <w:p>
      <w:pPr>
        <w:numPr>
          <w:ilvl w:val="0"/>
          <w:numId w:val="1406788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Offerer considers granting the Manufacturer the right to
manufacture and market these cooling systems under a separate
license agreement.</w:t>
      </w:r>
    </w:p>
    <w:p>
      <w:pPr>
        <w:numPr>
          <w:ilvl w:val="0"/>
          <w:numId w:val="1406788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Manufacturer is interested in detailed information about
the Contractual Invention in view of the possible conclusion of a
license agreement.</w:t>
      </w:r>
    </w:p>
    <w:p>
      <w:pPr>
        <w:numPr>
          <w:ilvl w:val="0"/>
          <w:numId w:val="1406788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 as to explore the possibility of granting the Manufacturer
the right to produce and sell the Contractual Invention, the
Offerer intends to disclose, explain and comprehensively present
the contractual invention to the Manufacturer (the
„Presentation“).</w:t>
      </w:r>
    </w:p>
    <w:p>
      <w:pPr>
        <w:numPr>
          <w:ilvl w:val="0"/>
          <w:numId w:val="1406788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Presentation requires the Offerer to disclose comprehensive
secret information with regard to the Contractual Invention to the
Manufacturer.</w:t>
      </w:r>
    </w:p>
    <w:p>
      <w:pPr>
        <w:widowControl w:val="on"/>
        <w:pBdr/>
        <w:spacing w:before="140" w:after="240" w:line="288" w:lineRule="auto"/>
        <w:ind w:left="0" w:right="0"/>
        <w:jc w:val="left"/>
      </w:pPr>
      <w:r>
        <w:rPr>
          <w:rFonts w:ascii="Arial" w:hAnsi="Arial" w:eastAsia="Arial" w:cs="Arial"/>
          <w:color w:val="000000"/>
          <w:sz w:val="20"/>
          <w:szCs w:val="20"/>
        </w:rPr>
        <w:t xml:space="preserve">In order to ensure confidential treatment of the secret
information the Parties agree as follows: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Obligation of Secrecy</w:t>
      </w:r>
    </w:p>
    <w:p>
      <w:pPr>
        <w:numPr>
          <w:ilvl w:val="0"/>
          <w:numId w:val="5541006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Manufacturer affirms and warrants by way of an independent
guarantee to keep the body of technical information, any and all
knowledge and documents relating to the construction, production
and quality of materials, production, manufacturing processes,
application technology and any and all additional information in
technical and commercial respects relating to the Contractual
Invention including the technical know-how (hereinafter referred to
as „Secret Information“) which is disclosed to the Manufacturer by
and in connection with the Presentation in writing, orally or in
any other way strictly confidential and not to disclose it to third
parties.</w:t>
      </w:r>
    </w:p>
    <w:p>
      <w:pPr>
        <w:numPr>
          <w:ilvl w:val="0"/>
          <w:numId w:val="5541006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Parties agree that any and all information which is
embodied in samples, drawings, documents, papers, electronic
records, data carriers or other storage media (the „Records“) which
are handed over to the Manufacturer by the Offerer in connection
with the Presentation likewise constitutes Secret Information and
shall remain the property of the Offerer. However, this shall not
result in any obligation on part of the Offerer to hand over
records to the Manufacturer or to give the Manufacturer access to
records in any other way. The Offerer shall not assume any
liability whatsoever for the correctness or completeness of the
information disclosed or for its technical or commercial
exploitability.</w:t>
      </w:r>
    </w:p>
    <w:p>
      <w:pPr>
        <w:numPr>
          <w:ilvl w:val="0"/>
          <w:numId w:val="5541006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Manufacturer undertakes to make the foregoing obligations
of secrecy binding upon all employees, collaborators and any other
persons who participate in the Presentation or otherwise get
knowledge thereof and to furnish written proof thereof at the
Offerer’s request. This shall also apply to all employees,
collaborators, board members as well as to all agents and
independent distributors and intermediaries, workers and work
contractors with whom the Manufacturer cooperates or to whom the
results of the Presentation are disclosed, as well as to the
companies affiliated with the Manufacturer as defined by Section 15
ff of the German Stock Corporation Law. Irrespective thereof the
Manufacturer will cooperate with third parties outside its
enterprise only with the Offerer’s prior written consent.</w:t>
      </w:r>
    </w:p>
    <w:p>
      <w:pPr>
        <w:numPr>
          <w:ilvl w:val="0"/>
          <w:numId w:val="5541006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On first demand the Manufacturer shall be obliged to promptly
return to the Offerer all samples, documents, electronic records,
data carriers and other storage media which the Offerer hands over
to the Manufacturer within the scope of or in connection with the
Presentation or makes available to the Manufacturer in any other
way. With respect to this obligation to return the Manufacturer
hereby waives any right of retention irrespective of its legal
basis. Furthermore, the Manufacturer undertakes not to make any
copies, electronic storage or any other records of the documents
handed over and to promptly and completely destroy and/or delete
any that have necessarily been made and to confirm this in writing
at the Offerer’s request.</w:t>
      </w:r>
    </w:p>
    <w:p>
      <w:pPr>
        <w:numPr>
          <w:ilvl w:val="0"/>
          <w:numId w:val="5541006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obligation of secrecy shall not apply to such experience,
technical knowledge and know-how with respect to which the
Manufacturer has proved to the Offerer in writing that
</w:t>
      </w:r>
    </w:p>
    <w:p>
      <w:pPr>
        <w:numPr>
          <w:ilvl w:val="1"/>
          <w:numId w:val="5541006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regardless of the Presentation or thereafter it has entered or
will enter the public domain without any act or fault on part of
the Manufacturer, i.e. has been or will be known or generally
available to the public; or</w:t>
      </w:r>
    </w:p>
    <w:p>
      <w:pPr>
        <w:numPr>
          <w:ilvl w:val="1"/>
          <w:numId w:val="5541006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regardless of the Presentation it was already known to the
Manufacturer; or</w:t>
      </w:r>
    </w:p>
    <w:p>
      <w:pPr>
        <w:numPr>
          <w:ilvl w:val="1"/>
          <w:numId w:val="5541006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 regardless of the Presentation it was lawfully disclosed
by third parties without restriction in respect of confidentiality
or use.</w:t>
      </w:r>
    </w:p>
    <w:p>
      <w:pPr>
        <w:numPr>
          <w:ilvl w:val="0"/>
          <w:numId w:val="5541006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above-mentioned exceptions to the obligation of secrecy
shall not apply to a combination of individual pieces of
information, knowledge and/or experience, even if one of the
above-mentioned exceptions would apply to each individual piece of
information, knowledge and/or experience unless the above-mentioned
exceptions apply to the combination of the individual pieces of
information, knowledge and/or experience itself.</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Restrictive Covenant</w:t>
      </w:r>
    </w:p>
    <w:p>
      <w:pPr>
        <w:numPr>
          <w:ilvl w:val="0"/>
          <w:numId w:val="7166846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Manufacturer shall be prohibited from using any experience,
technical knowledge and information obtained by, during and in
connection with the Presentation as well as any Secret Information
for other purposes than for this Agreement and from making use
thereof, itself or through third parties, free or against payment,
without the express written consent of the Offerer or from
otherwise using, exploiting, filing an application for a patent or
utility model or otherwise making it the subject of an application
for an industrial property right. This obligation will hereinafter
be referred to as „Restrictive Covenant“.</w:t>
      </w:r>
    </w:p>
    <w:p>
      <w:pPr>
        <w:numPr>
          <w:ilvl w:val="0"/>
          <w:numId w:val="7166846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Restrictive Covenant shall not apply to such experience,
technical knowledge and know-how with respect to which the
Manufacturer has proved to the Offerer in writing that
</w:t>
      </w:r>
    </w:p>
    <w:p>
      <w:pPr>
        <w:numPr>
          <w:ilvl w:val="1"/>
          <w:numId w:val="7166846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regardless of the Presentation or thereafter it has entered or
will enter the public domain without any act or fault on part of
the Manufacturer, i.e. has been or will be known or generally
available to the public; or</w:t>
      </w:r>
    </w:p>
    <w:p>
      <w:pPr>
        <w:numPr>
          <w:ilvl w:val="1"/>
          <w:numId w:val="7166846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regardless of the Presentation it was already known to the
Manufacturer; or</w:t>
      </w:r>
    </w:p>
    <w:p>
      <w:pPr>
        <w:numPr>
          <w:ilvl w:val="1"/>
          <w:numId w:val="7166846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regardless of the Presentation it was lawfully disclosed by
third parties without restriction in respect of confidentiality or
use.</w:t>
      </w:r>
    </w:p>
    <w:p>
      <w:pPr>
        <w:numPr>
          <w:ilvl w:val="0"/>
          <w:numId w:val="7166846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above-mentioned exceptions to the Restrictive Covenant
shall not apply to a combination of individual pieces of
information, knowledge and/or experience, even if one of the
above-mentioned exceptions would apply to each individual piece of
information, knowledge and/or experience unless the above-mentioned
exceptions apply to the combination of the individual pieces of
information, knowledge and/or experience itself.</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Contractual Penalty, Additional
Claims</w:t>
      </w:r>
    </w:p>
    <w:p>
      <w:pPr>
        <w:numPr>
          <w:ilvl w:val="0"/>
          <w:numId w:val="8392373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Manufacturer undertakes to pay to the Offerer for each
individual objective breach of the obligations of secrecy and/or
Restrictive Covenant, waiving the defence of causal connection, a
reasonable contractual penalty in the reasonably exercised
discretion of the Offerer. If the Manufacturer claims that the
contractual penalty is not reasonable, each Party shall be entitled
to call upon the President of the Berlin Chamber of Industry and
Commerce to appoint an expert who will finally decide that issue as
an arbitrator. The expert shall also decide on the costs of his
services in accordance with the principles of Section 91 ff of the
Code of Civil Procedure. Furthermore, the expert shall decide in
his reasonably exercised discretion on the detailed wording of the
expert arbitration clause. The President of the Berlin Chamber of
Industry and Commerce shall appoint only one expert even if several
requests are made.</w:t>
      </w:r>
    </w:p>
    <w:p>
      <w:pPr>
        <w:numPr>
          <w:ilvl w:val="0"/>
          <w:numId w:val="8392373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Offerer’s right to claim any damages or raise any other
claims going beyond the claims specified in paragraph 1. shall not
be affected. Any contractual penalty paid shall not be offset
against the Offerer’s more extensive claims for damages resulting
from the breach of this Agreement. The application of Section 341
(3) of the Civil Code shall be excluded.</w:t>
      </w:r>
    </w:p>
    <w:p>
      <w:pPr>
        <w:numPr>
          <w:ilvl w:val="0"/>
          <w:numId w:val="8392373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If the Manufacturer has filed applications for industrial
property rights contrary to the obligations of this Agreement, the
Manufacturer shall be obliged to assign to the Offerer, free of
charge and without delay, any property rights of any kind
whatsoever granted to the Manufacturer.</w:t>
      </w:r>
    </w:p>
    <w:p>
      <w:pPr>
        <w:numPr>
          <w:ilvl w:val="0"/>
          <w:numId w:val="8392373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the event that the Manufacturer enters into any contracts of
use and/or exploitation committing a breach of the provisions of
this Agreement, the Manufacturer shall be obliged to assign to the
Offerer, free of charge and without delay, all present and future
rights existing under or arising out of any such contracts.</w:t>
      </w:r>
    </w:p>
    <w:p>
      <w:pPr>
        <w:numPr>
          <w:ilvl w:val="0"/>
          <w:numId w:val="8392373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Manufacturer’s comprehensive liability for damages to the
Offerer shall also apply to any breach of the above-mentioned
obligations by the persons or enterprises mentioned in paragraph 3
of Article I.</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Accidental Inventions</w:t>
      </w:r>
    </w:p>
    <w:p>
      <w:pPr>
        <w:widowControl w:val="on"/>
        <w:pBdr/>
        <w:spacing w:before="140" w:after="240" w:line="288" w:lineRule="auto"/>
        <w:ind w:left="0" w:right="0"/>
        <w:jc w:val="left"/>
      </w:pPr>
      <w:r>
        <w:rPr>
          <w:rFonts w:ascii="Arial" w:hAnsi="Arial" w:eastAsia="Arial" w:cs="Arial"/>
          <w:color w:val="000000"/>
          <w:sz w:val="20"/>
          <w:szCs w:val="20"/>
        </w:rPr>
        <w:t xml:space="preserve">If as a result of the Presentation in context with the
Manufacturer’s own development activities accidental inventions,
inventions relating to improvements or further developments are
made in connection with the Contractual Invention („Continuation
Inventions“), the Offerer shall exclusively be entitled to such
inventions and the Manufacturer undertakes to promptly inform the
Offerer in writing. The Offerer shall in particular be exclusively
entitled to industrial property rights of any type for which
applications on accidental inventions may be filed, including the
right to apply for such rights.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Term</w:t>
      </w:r>
    </w:p>
    <w:p>
      <w:pPr>
        <w:numPr>
          <w:ilvl w:val="0"/>
          <w:numId w:val="2933020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This Agreement shall enter into force on the date of signing by
both Parties. The obligation of secrecy and the Restrictive
Covenant shall be in force until all property rights, e.g. patent,
utility model and design rights as well as any other property
rights, including patents of addition and process patents for which
the Offerer or its successors in title file applications relating
to the contractual invention, have expired and until the technical
knowledge developed in connection with the contractual invention
has entered the public domain without any breach of the obligation
of secrecy on part of the Manufacturer.</w:t>
      </w:r>
    </w:p>
    <w:p>
      <w:pPr>
        <w:numPr>
          <w:ilvl w:val="0"/>
          <w:numId w:val="2933020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Irrespective of the preceding paragraph 1 this Agreement shall
remain in force for seven years after its signing.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Legal Effects</w:t>
      </w:r>
    </w:p>
    <w:p>
      <w:pPr>
        <w:widowControl w:val="on"/>
        <w:pBdr/>
        <w:spacing w:before="140" w:after="240" w:line="288" w:lineRule="auto"/>
        <w:ind w:left="0" w:right="0"/>
        <w:jc w:val="left"/>
      </w:pPr>
      <w:r>
        <w:rPr>
          <w:rFonts w:ascii="Arial" w:hAnsi="Arial" w:eastAsia="Arial" w:cs="Arial"/>
          <w:color w:val="000000"/>
          <w:sz w:val="20"/>
          <w:szCs w:val="20"/>
        </w:rPr>
        <w:t xml:space="preserve">It is agreed that this Agreement shall not include any
assignment of rights or licenses or create any obligation
whatsoever to enter into a license agreement or any other agreement
nor shall it create an obligation to enter into any negotiations
directed thereto or any other business relations.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Final Provision</w:t>
      </w:r>
    </w:p>
    <w:p>
      <w:pPr>
        <w:widowControl w:val="on"/>
        <w:pBdr/>
        <w:spacing w:before="140" w:after="240" w:line="288" w:lineRule="auto"/>
        <w:ind w:left="0" w:right="0"/>
        <w:jc w:val="left"/>
      </w:pPr>
      <w:r>
        <w:rPr>
          <w:rFonts w:ascii="Arial" w:hAnsi="Arial" w:eastAsia="Arial" w:cs="Arial"/>
          <w:color w:val="000000"/>
          <w:sz w:val="20"/>
          <w:szCs w:val="20"/>
        </w:rPr>
        <w:t xml:space="preserve">This Contract reflects the final Agreement of the Parties on the
terms and conditions specified herein. There are no collateral
agreements, whether oral or written.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Amendments and Additions</w:t>
      </w:r>
    </w:p>
    <w:p>
      <w:pPr>
        <w:widowControl w:val="on"/>
        <w:pBdr/>
        <w:spacing w:before="140" w:after="240" w:line="288" w:lineRule="auto"/>
        <w:ind w:left="0" w:right="0"/>
        <w:jc w:val="left"/>
      </w:pPr>
      <w:r>
        <w:rPr>
          <w:rFonts w:ascii="Arial" w:hAnsi="Arial" w:eastAsia="Arial" w:cs="Arial"/>
          <w:color w:val="000000"/>
          <w:sz w:val="20"/>
          <w:szCs w:val="20"/>
        </w:rPr>
        <w:t xml:space="preserve">No amendments and additions to this Agreement shall be effective
unless the same shall be in writing in a uniform document signed by
the contracting parties unless a notaries certification is
required. This formal requirement shall also apply if the
requirement of a written document is departed from.</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Partial Invalidity</w:t>
      </w:r>
    </w:p>
    <w:p>
      <w:pPr>
        <w:widowControl w:val="on"/>
        <w:pBdr/>
        <w:spacing w:before="140" w:after="240" w:line="288" w:lineRule="auto"/>
        <w:ind w:left="0" w:right="0"/>
        <w:jc w:val="left"/>
      </w:pPr>
      <w:r>
        <w:rPr>
          <w:rFonts w:ascii="Arial" w:hAnsi="Arial" w:eastAsia="Arial" w:cs="Arial"/>
          <w:color w:val="000000"/>
          <w:sz w:val="20"/>
          <w:szCs w:val="20"/>
        </w:rPr>
        <w:t xml:space="preserve">If any one or more of the provisions of this Agreement should be
invalid or ineffective or become ineffective due to later
circumstances or if both Parties mutually agree that there is a
loophole in the Agreement, the validity of the remaining provisions
shall not be affected thereby. The contracting Parties agree that
in such a case the Agreement shall be supplemented by valid
provisions corresponding to the legal and economic purpose of the
invalid or incomplete provisions of the Agreement.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Governing Law</w:t>
      </w:r>
    </w:p>
    <w:p>
      <w:pPr>
        <w:widowControl w:val="on"/>
        <w:pBdr/>
        <w:spacing w:before="140" w:after="240" w:line="288" w:lineRule="auto"/>
        <w:ind w:left="0" w:right="0"/>
        <w:jc w:val="left"/>
      </w:pPr>
      <w:r>
        <w:rPr>
          <w:rFonts w:ascii="Arial" w:hAnsi="Arial" w:eastAsia="Arial" w:cs="Arial"/>
          <w:color w:val="000000"/>
          <w:sz w:val="20"/>
          <w:szCs w:val="20"/>
        </w:rPr>
        <w:t xml:space="preserve">This Agreement shall be governed exclusively by the substantive
laws of the Federal Republic of Germany excluding any conflict of
law provisions. This shall also apply to the issue of the
conclusion of this Agreement as well as to the legal consequences
of its after-effect.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 Arbitration</w:t>
      </w:r>
    </w:p>
    <w:p>
      <w:pPr>
        <w:numPr>
          <w:ilvl w:val="0"/>
          <w:numId w:val="1921269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Parties shall endeavour to amicably settle any disputes
arising out of or in connection with the performance of this
Agreement. If an amicable settlement cannot be reached, the
contracting Parties shall submit all disputes arising out of or in
connection with the present Agreement or its validity or also the
validity of this arbitration clause to an arbitration tribunal
consisting of one or a plurality of arbitrators in accordance with
the Rules of Conciliation and Arbitration of the International
Chamber of Commerce, ousting the jurisdiction of the courts. The
German language shall be used in the arbitral proceedings. The
place of arbitration shall be Braunschweig/Germany.</w:t>
      </w:r>
    </w:p>
    <w:p>
      <w:pPr>
        <w:numPr>
          <w:ilvl w:val="0"/>
          <w:numId w:val="1921269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Summary proceedings shall expressly be excluded from this
arbitration clause and shall be reserved to the courts of law.</w:t>
      </w:r>
    </w:p>
    <w:p>
      <w:pPr>
        <w:numPr>
          <w:ilvl w:val="0"/>
          <w:numId w:val="1921269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arbitration tribunal shall be bound by the award of the
expert arbitrator referred to in Article III. of this
Agreement.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 Counterparts</w:t>
      </w:r>
    </w:p>
    <w:p>
      <w:pPr>
        <w:widowControl w:val="on"/>
        <w:pBdr/>
        <w:spacing w:before="140" w:after="240" w:line="288" w:lineRule="auto"/>
        <w:ind w:left="0" w:right="0"/>
        <w:jc w:val="left"/>
      </w:pPr>
      <w:r>
        <w:rPr>
          <w:rFonts w:ascii="Arial" w:hAnsi="Arial" w:eastAsia="Arial" w:cs="Arial"/>
          <w:color w:val="000000"/>
          <w:sz w:val="20"/>
          <w:szCs w:val="20"/>
        </w:rPr>
        <w:t xml:space="preserve">This Agreement shall be executed in two counterparts in German
and shall be legally binding exclusively in the German version.</w:t>
      </w:r>
    </w:p>
    <w:p>
      <w:pPr>
        <w:widowControl w:val="on"/>
        <w:pBdr/>
        <w:spacing w:before="140" w:after="240" w:line="288" w:lineRule="auto"/>
        <w:ind w:left="0" w:right="0"/>
        <w:jc w:val="left"/>
      </w:pPr>
      <w:r>
        <w:rPr>
          <w:rFonts w:ascii="Arial" w:hAnsi="Arial" w:eastAsia="Arial" w:cs="Arial"/>
          <w:color w:val="000000"/>
          <w:sz w:val="20"/>
          <w:szCs w:val="20"/>
        </w:rPr>
        <w:t xml:space="preserve">Place, date</w:t>
      </w:r>
      <w:r>
        <w:rPr>
          <w:rFonts w:ascii="Arial" w:hAnsi="Arial" w:eastAsia="Arial" w:cs="Arial"/>
          <w:color w:val="000000"/>
          <w:sz w:val="20"/>
          <w:szCs w:val="20"/>
        </w:rPr>
        <w:br/>
        <w:t xml:space="preserve">Offerer</w:t>
      </w:r>
    </w:p>
    <w:p>
      <w:pPr>
        <w:widowControl w:val="on"/>
        <w:pBdr/>
        <w:spacing w:before="140" w:after="240" w:line="288" w:lineRule="auto"/>
        <w:ind w:left="0" w:right="0"/>
        <w:jc w:val="left"/>
      </w:pPr>
      <w:r>
        <w:rPr>
          <w:rFonts w:ascii="Arial" w:hAnsi="Arial" w:eastAsia="Arial" w:cs="Arial"/>
          <w:color w:val="000000"/>
          <w:sz w:val="20"/>
          <w:szCs w:val="20"/>
        </w:rPr>
        <w:t xml:space="preserve">Place, date</w:t>
      </w:r>
      <w:r>
        <w:rPr>
          <w:rFonts w:ascii="Arial" w:hAnsi="Arial" w:eastAsia="Arial" w:cs="Arial"/>
          <w:color w:val="000000"/>
          <w:sz w:val="20"/>
          <w:szCs w:val="20"/>
        </w:rPr>
        <w:br/>
        <w:t xml:space="preserve">Manufacturer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12690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9330206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3923732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16684658">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554100606">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14067882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0682149">
    <w:multiLevelType w:val="hybridMultilevel"/>
    <w:lvl w:ilvl="0" w:tplc="68549565">
      <w:start w:val="1"/>
      <w:numFmt w:val="decimal"/>
      <w:lvlText w:val="%1."/>
      <w:lvlJc w:val="left"/>
      <w:pPr>
        <w:ind w:left="720" w:hanging="360"/>
      </w:pPr>
    </w:lvl>
    <w:lvl w:ilvl="1" w:tplc="68549565" w:tentative="1">
      <w:start w:val="1"/>
      <w:numFmt w:val="lowerLetter"/>
      <w:lvlText w:val="%2."/>
      <w:lvlJc w:val="left"/>
      <w:pPr>
        <w:ind w:left="1440" w:hanging="360"/>
      </w:pPr>
    </w:lvl>
    <w:lvl w:ilvl="2" w:tplc="68549565" w:tentative="1">
      <w:start w:val="1"/>
      <w:numFmt w:val="lowerRoman"/>
      <w:lvlText w:val="%3."/>
      <w:lvlJc w:val="right"/>
      <w:pPr>
        <w:ind w:left="2160" w:hanging="180"/>
      </w:pPr>
    </w:lvl>
    <w:lvl w:ilvl="3" w:tplc="68549565" w:tentative="1">
      <w:start w:val="1"/>
      <w:numFmt w:val="decimal"/>
      <w:lvlText w:val="%4."/>
      <w:lvlJc w:val="left"/>
      <w:pPr>
        <w:ind w:left="2880" w:hanging="360"/>
      </w:pPr>
    </w:lvl>
    <w:lvl w:ilvl="4" w:tplc="68549565" w:tentative="1">
      <w:start w:val="1"/>
      <w:numFmt w:val="lowerLetter"/>
      <w:lvlText w:val="%5."/>
      <w:lvlJc w:val="left"/>
      <w:pPr>
        <w:ind w:left="3600" w:hanging="360"/>
      </w:pPr>
    </w:lvl>
    <w:lvl w:ilvl="5" w:tplc="68549565" w:tentative="1">
      <w:start w:val="1"/>
      <w:numFmt w:val="lowerRoman"/>
      <w:lvlText w:val="%6."/>
      <w:lvlJc w:val="right"/>
      <w:pPr>
        <w:ind w:left="4320" w:hanging="180"/>
      </w:pPr>
    </w:lvl>
    <w:lvl w:ilvl="6" w:tplc="68549565" w:tentative="1">
      <w:start w:val="1"/>
      <w:numFmt w:val="decimal"/>
      <w:lvlText w:val="%7."/>
      <w:lvlJc w:val="left"/>
      <w:pPr>
        <w:ind w:left="5040" w:hanging="360"/>
      </w:pPr>
    </w:lvl>
    <w:lvl w:ilvl="7" w:tplc="68549565" w:tentative="1">
      <w:start w:val="1"/>
      <w:numFmt w:val="lowerLetter"/>
      <w:lvlText w:val="%8."/>
      <w:lvlJc w:val="left"/>
      <w:pPr>
        <w:ind w:left="5760" w:hanging="360"/>
      </w:pPr>
    </w:lvl>
    <w:lvl w:ilvl="8" w:tplc="68549565" w:tentative="1">
      <w:start w:val="1"/>
      <w:numFmt w:val="lowerRoman"/>
      <w:lvlText w:val="%9."/>
      <w:lvlJc w:val="right"/>
      <w:pPr>
        <w:ind w:left="6480" w:hanging="180"/>
      </w:pPr>
    </w:lvl>
  </w:abstractNum>
  <w:abstractNum w:abstractNumId="90682148">
    <w:multiLevelType w:val="hybridMultilevel"/>
    <w:lvl w:ilvl="0" w:tplc="22200063">
      <w:start w:val="1"/>
      <w:numFmt w:val="decimal"/>
      <w:lvlText w:val="%1."/>
      <w:lvlJc w:val="left"/>
      <w:pPr>
        <w:ind w:left="720" w:hanging="360"/>
      </w:pPr>
    </w:lvl>
    <w:lvl w:ilvl="1" w:tplc="22200063" w:tentative="1">
      <w:start w:val="1"/>
      <w:numFmt w:val="lowerLetter"/>
      <w:lvlText w:val="%2."/>
      <w:lvlJc w:val="left"/>
      <w:pPr>
        <w:ind w:left="1440" w:hanging="360"/>
      </w:pPr>
    </w:lvl>
    <w:lvl w:ilvl="2" w:tplc="22200063" w:tentative="1">
      <w:start w:val="1"/>
      <w:numFmt w:val="lowerRoman"/>
      <w:lvlText w:val="%3."/>
      <w:lvlJc w:val="right"/>
      <w:pPr>
        <w:ind w:left="2160" w:hanging="180"/>
      </w:pPr>
    </w:lvl>
    <w:lvl w:ilvl="3" w:tplc="22200063" w:tentative="1">
      <w:start w:val="1"/>
      <w:numFmt w:val="decimal"/>
      <w:lvlText w:val="%4."/>
      <w:lvlJc w:val="left"/>
      <w:pPr>
        <w:ind w:left="2880" w:hanging="360"/>
      </w:pPr>
    </w:lvl>
    <w:lvl w:ilvl="4" w:tplc="22200063" w:tentative="1">
      <w:start w:val="1"/>
      <w:numFmt w:val="lowerLetter"/>
      <w:lvlText w:val="%5."/>
      <w:lvlJc w:val="left"/>
      <w:pPr>
        <w:ind w:left="3600" w:hanging="360"/>
      </w:pPr>
    </w:lvl>
    <w:lvl w:ilvl="5" w:tplc="22200063" w:tentative="1">
      <w:start w:val="1"/>
      <w:numFmt w:val="lowerRoman"/>
      <w:lvlText w:val="%6."/>
      <w:lvlJc w:val="right"/>
      <w:pPr>
        <w:ind w:left="4320" w:hanging="180"/>
      </w:pPr>
    </w:lvl>
    <w:lvl w:ilvl="6" w:tplc="22200063" w:tentative="1">
      <w:start w:val="1"/>
      <w:numFmt w:val="decimal"/>
      <w:lvlText w:val="%7."/>
      <w:lvlJc w:val="left"/>
      <w:pPr>
        <w:ind w:left="5040" w:hanging="360"/>
      </w:pPr>
    </w:lvl>
    <w:lvl w:ilvl="7" w:tplc="22200063" w:tentative="1">
      <w:start w:val="1"/>
      <w:numFmt w:val="lowerLetter"/>
      <w:lvlText w:val="%8."/>
      <w:lvlJc w:val="left"/>
      <w:pPr>
        <w:ind w:left="5760" w:hanging="360"/>
      </w:pPr>
    </w:lvl>
    <w:lvl w:ilvl="8" w:tplc="22200063" w:tentative="1">
      <w:start w:val="1"/>
      <w:numFmt w:val="lowerRoman"/>
      <w:lvlText w:val="%9."/>
      <w:lvlJc w:val="right"/>
      <w:pPr>
        <w:ind w:left="6480" w:hanging="180"/>
      </w:pPr>
    </w:lvl>
  </w:abstractNum>
  <w:abstractNum w:abstractNumId="90682147">
    <w:multiLevelType w:val="hybridMultilevel"/>
    <w:lvl w:ilvl="0" w:tplc="72799038">
      <w:start w:val="1"/>
      <w:numFmt w:val="decimal"/>
      <w:lvlText w:val="%1."/>
      <w:lvlJc w:val="left"/>
      <w:pPr>
        <w:ind w:left="720" w:hanging="360"/>
      </w:pPr>
    </w:lvl>
    <w:lvl w:ilvl="1" w:tplc="72799038" w:tentative="1">
      <w:start w:val="1"/>
      <w:numFmt w:val="lowerLetter"/>
      <w:lvlText w:val="%2."/>
      <w:lvlJc w:val="left"/>
      <w:pPr>
        <w:ind w:left="1440" w:hanging="360"/>
      </w:pPr>
    </w:lvl>
    <w:lvl w:ilvl="2" w:tplc="72799038" w:tentative="1">
      <w:start w:val="1"/>
      <w:numFmt w:val="lowerRoman"/>
      <w:lvlText w:val="%3."/>
      <w:lvlJc w:val="right"/>
      <w:pPr>
        <w:ind w:left="2160" w:hanging="180"/>
      </w:pPr>
    </w:lvl>
    <w:lvl w:ilvl="3" w:tplc="72799038" w:tentative="1">
      <w:start w:val="1"/>
      <w:numFmt w:val="decimal"/>
      <w:lvlText w:val="%4."/>
      <w:lvlJc w:val="left"/>
      <w:pPr>
        <w:ind w:left="2880" w:hanging="360"/>
      </w:pPr>
    </w:lvl>
    <w:lvl w:ilvl="4" w:tplc="72799038" w:tentative="1">
      <w:start w:val="1"/>
      <w:numFmt w:val="lowerLetter"/>
      <w:lvlText w:val="%5."/>
      <w:lvlJc w:val="left"/>
      <w:pPr>
        <w:ind w:left="3600" w:hanging="360"/>
      </w:pPr>
    </w:lvl>
    <w:lvl w:ilvl="5" w:tplc="72799038" w:tentative="1">
      <w:start w:val="1"/>
      <w:numFmt w:val="lowerRoman"/>
      <w:lvlText w:val="%6."/>
      <w:lvlJc w:val="right"/>
      <w:pPr>
        <w:ind w:left="4320" w:hanging="180"/>
      </w:pPr>
    </w:lvl>
    <w:lvl w:ilvl="6" w:tplc="72799038" w:tentative="1">
      <w:start w:val="1"/>
      <w:numFmt w:val="decimal"/>
      <w:lvlText w:val="%7."/>
      <w:lvlJc w:val="left"/>
      <w:pPr>
        <w:ind w:left="5040" w:hanging="360"/>
      </w:pPr>
    </w:lvl>
    <w:lvl w:ilvl="7" w:tplc="72799038" w:tentative="1">
      <w:start w:val="1"/>
      <w:numFmt w:val="lowerLetter"/>
      <w:lvlText w:val="%8."/>
      <w:lvlJc w:val="left"/>
      <w:pPr>
        <w:ind w:left="5760" w:hanging="360"/>
      </w:pPr>
    </w:lvl>
    <w:lvl w:ilvl="8" w:tplc="72799038" w:tentative="1">
      <w:start w:val="1"/>
      <w:numFmt w:val="lowerRoman"/>
      <w:lvlText w:val="%9."/>
      <w:lvlJc w:val="right"/>
      <w:pPr>
        <w:ind w:left="6480" w:hanging="180"/>
      </w:pPr>
    </w:lvl>
  </w:abstractNum>
  <w:abstractNum w:abstractNumId="90682146">
    <w:multiLevelType w:val="hybridMultilevel"/>
    <w:lvl w:ilvl="0" w:tplc="71143761">
      <w:start w:val="1"/>
      <w:numFmt w:val="decimal"/>
      <w:lvlText w:val="%1."/>
      <w:lvlJc w:val="left"/>
      <w:pPr>
        <w:ind w:left="720" w:hanging="360"/>
      </w:pPr>
    </w:lvl>
    <w:lvl w:ilvl="1" w:tplc="71143761" w:tentative="1">
      <w:start w:val="1"/>
      <w:numFmt w:val="lowerLetter"/>
      <w:lvlText w:val="%2."/>
      <w:lvlJc w:val="left"/>
      <w:pPr>
        <w:ind w:left="1440" w:hanging="360"/>
      </w:pPr>
    </w:lvl>
    <w:lvl w:ilvl="2" w:tplc="71143761" w:tentative="1">
      <w:start w:val="1"/>
      <w:numFmt w:val="lowerRoman"/>
      <w:lvlText w:val="%3."/>
      <w:lvlJc w:val="right"/>
      <w:pPr>
        <w:ind w:left="2160" w:hanging="180"/>
      </w:pPr>
    </w:lvl>
    <w:lvl w:ilvl="3" w:tplc="71143761" w:tentative="1">
      <w:start w:val="1"/>
      <w:numFmt w:val="decimal"/>
      <w:lvlText w:val="%4."/>
      <w:lvlJc w:val="left"/>
      <w:pPr>
        <w:ind w:left="2880" w:hanging="360"/>
      </w:pPr>
    </w:lvl>
    <w:lvl w:ilvl="4" w:tplc="71143761" w:tentative="1">
      <w:start w:val="1"/>
      <w:numFmt w:val="lowerLetter"/>
      <w:lvlText w:val="%5."/>
      <w:lvlJc w:val="left"/>
      <w:pPr>
        <w:ind w:left="3600" w:hanging="360"/>
      </w:pPr>
    </w:lvl>
    <w:lvl w:ilvl="5" w:tplc="71143761" w:tentative="1">
      <w:start w:val="1"/>
      <w:numFmt w:val="lowerRoman"/>
      <w:lvlText w:val="%6."/>
      <w:lvlJc w:val="right"/>
      <w:pPr>
        <w:ind w:left="4320" w:hanging="180"/>
      </w:pPr>
    </w:lvl>
    <w:lvl w:ilvl="6" w:tplc="71143761" w:tentative="1">
      <w:start w:val="1"/>
      <w:numFmt w:val="decimal"/>
      <w:lvlText w:val="%7."/>
      <w:lvlJc w:val="left"/>
      <w:pPr>
        <w:ind w:left="5040" w:hanging="360"/>
      </w:pPr>
    </w:lvl>
    <w:lvl w:ilvl="7" w:tplc="71143761" w:tentative="1">
      <w:start w:val="1"/>
      <w:numFmt w:val="lowerLetter"/>
      <w:lvlText w:val="%8."/>
      <w:lvlJc w:val="left"/>
      <w:pPr>
        <w:ind w:left="5760" w:hanging="360"/>
      </w:pPr>
    </w:lvl>
    <w:lvl w:ilvl="8" w:tplc="71143761" w:tentative="1">
      <w:start w:val="1"/>
      <w:numFmt w:val="lowerRoman"/>
      <w:lvlText w:val="%9."/>
      <w:lvlJc w:val="right"/>
      <w:pPr>
        <w:ind w:left="6480" w:hanging="180"/>
      </w:pPr>
    </w:lvl>
  </w:abstractNum>
  <w:abstractNum w:abstractNumId="90682145">
    <w:multiLevelType w:val="hybridMultilevel"/>
    <w:lvl w:ilvl="0" w:tplc="55655377">
      <w:start w:val="1"/>
      <w:numFmt w:val="decimal"/>
      <w:lvlText w:val="%1."/>
      <w:lvlJc w:val="left"/>
      <w:pPr>
        <w:ind w:left="720" w:hanging="360"/>
      </w:pPr>
    </w:lvl>
    <w:lvl w:ilvl="1" w:tplc="55655377" w:tentative="1">
      <w:start w:val="1"/>
      <w:numFmt w:val="lowerLetter"/>
      <w:lvlText w:val="%2."/>
      <w:lvlJc w:val="left"/>
      <w:pPr>
        <w:ind w:left="1440" w:hanging="360"/>
      </w:pPr>
    </w:lvl>
    <w:lvl w:ilvl="2" w:tplc="55655377" w:tentative="1">
      <w:start w:val="1"/>
      <w:numFmt w:val="lowerRoman"/>
      <w:lvlText w:val="%3."/>
      <w:lvlJc w:val="right"/>
      <w:pPr>
        <w:ind w:left="2160" w:hanging="180"/>
      </w:pPr>
    </w:lvl>
    <w:lvl w:ilvl="3" w:tplc="55655377" w:tentative="1">
      <w:start w:val="1"/>
      <w:numFmt w:val="decimal"/>
      <w:lvlText w:val="%4."/>
      <w:lvlJc w:val="left"/>
      <w:pPr>
        <w:ind w:left="2880" w:hanging="360"/>
      </w:pPr>
    </w:lvl>
    <w:lvl w:ilvl="4" w:tplc="55655377" w:tentative="1">
      <w:start w:val="1"/>
      <w:numFmt w:val="lowerLetter"/>
      <w:lvlText w:val="%5."/>
      <w:lvlJc w:val="left"/>
      <w:pPr>
        <w:ind w:left="3600" w:hanging="360"/>
      </w:pPr>
    </w:lvl>
    <w:lvl w:ilvl="5" w:tplc="55655377" w:tentative="1">
      <w:start w:val="1"/>
      <w:numFmt w:val="lowerRoman"/>
      <w:lvlText w:val="%6."/>
      <w:lvlJc w:val="right"/>
      <w:pPr>
        <w:ind w:left="4320" w:hanging="180"/>
      </w:pPr>
    </w:lvl>
    <w:lvl w:ilvl="6" w:tplc="55655377" w:tentative="1">
      <w:start w:val="1"/>
      <w:numFmt w:val="decimal"/>
      <w:lvlText w:val="%7."/>
      <w:lvlJc w:val="left"/>
      <w:pPr>
        <w:ind w:left="5040" w:hanging="360"/>
      </w:pPr>
    </w:lvl>
    <w:lvl w:ilvl="7" w:tplc="55655377" w:tentative="1">
      <w:start w:val="1"/>
      <w:numFmt w:val="lowerLetter"/>
      <w:lvlText w:val="%8."/>
      <w:lvlJc w:val="left"/>
      <w:pPr>
        <w:ind w:left="5760" w:hanging="360"/>
      </w:pPr>
    </w:lvl>
    <w:lvl w:ilvl="8" w:tplc="55655377" w:tentative="1">
      <w:start w:val="1"/>
      <w:numFmt w:val="lowerRoman"/>
      <w:lvlText w:val="%9."/>
      <w:lvlJc w:val="right"/>
      <w:pPr>
        <w:ind w:left="6480" w:hanging="180"/>
      </w:pPr>
    </w:lvl>
  </w:abstractNum>
  <w:abstractNum w:abstractNumId="90682144">
    <w:multiLevelType w:val="hybridMultilevel"/>
    <w:lvl w:ilvl="0" w:tplc="85566638">
      <w:start w:val="1"/>
      <w:numFmt w:val="decimal"/>
      <w:lvlText w:val="%1."/>
      <w:lvlJc w:val="left"/>
      <w:pPr>
        <w:ind w:left="720" w:hanging="360"/>
      </w:pPr>
    </w:lvl>
    <w:lvl w:ilvl="1" w:tplc="85566638" w:tentative="1">
      <w:start w:val="1"/>
      <w:numFmt w:val="lowerLetter"/>
      <w:lvlText w:val="%2."/>
      <w:lvlJc w:val="left"/>
      <w:pPr>
        <w:ind w:left="1440" w:hanging="360"/>
      </w:pPr>
    </w:lvl>
    <w:lvl w:ilvl="2" w:tplc="85566638" w:tentative="1">
      <w:start w:val="1"/>
      <w:numFmt w:val="lowerRoman"/>
      <w:lvlText w:val="%3."/>
      <w:lvlJc w:val="right"/>
      <w:pPr>
        <w:ind w:left="2160" w:hanging="180"/>
      </w:pPr>
    </w:lvl>
    <w:lvl w:ilvl="3" w:tplc="85566638" w:tentative="1">
      <w:start w:val="1"/>
      <w:numFmt w:val="decimal"/>
      <w:lvlText w:val="%4."/>
      <w:lvlJc w:val="left"/>
      <w:pPr>
        <w:ind w:left="2880" w:hanging="360"/>
      </w:pPr>
    </w:lvl>
    <w:lvl w:ilvl="4" w:tplc="85566638" w:tentative="1">
      <w:start w:val="1"/>
      <w:numFmt w:val="lowerLetter"/>
      <w:lvlText w:val="%5."/>
      <w:lvlJc w:val="left"/>
      <w:pPr>
        <w:ind w:left="3600" w:hanging="360"/>
      </w:pPr>
    </w:lvl>
    <w:lvl w:ilvl="5" w:tplc="85566638" w:tentative="1">
      <w:start w:val="1"/>
      <w:numFmt w:val="lowerRoman"/>
      <w:lvlText w:val="%6."/>
      <w:lvlJc w:val="right"/>
      <w:pPr>
        <w:ind w:left="4320" w:hanging="180"/>
      </w:pPr>
    </w:lvl>
    <w:lvl w:ilvl="6" w:tplc="85566638" w:tentative="1">
      <w:start w:val="1"/>
      <w:numFmt w:val="decimal"/>
      <w:lvlText w:val="%7."/>
      <w:lvlJc w:val="left"/>
      <w:pPr>
        <w:ind w:left="5040" w:hanging="360"/>
      </w:pPr>
    </w:lvl>
    <w:lvl w:ilvl="7" w:tplc="85566638" w:tentative="1">
      <w:start w:val="1"/>
      <w:numFmt w:val="lowerLetter"/>
      <w:lvlText w:val="%8."/>
      <w:lvlJc w:val="left"/>
      <w:pPr>
        <w:ind w:left="5760" w:hanging="360"/>
      </w:pPr>
    </w:lvl>
    <w:lvl w:ilvl="8" w:tplc="85566638" w:tentative="1">
      <w:start w:val="1"/>
      <w:numFmt w:val="lowerRoman"/>
      <w:lvlText w:val="%9."/>
      <w:lvlJc w:val="right"/>
      <w:pPr>
        <w:ind w:left="6480" w:hanging="180"/>
      </w:pPr>
    </w:lvl>
  </w:abstractNum>
  <w:abstractNum w:abstractNumId="539890214">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11152139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0682143">
    <w:multiLevelType w:val="hybridMultilevel"/>
    <w:lvl w:ilvl="0" w:tplc="67512295">
      <w:start w:val="1"/>
      <w:numFmt w:val="decimal"/>
      <w:lvlText w:val="%1."/>
      <w:lvlJc w:val="left"/>
      <w:pPr>
        <w:ind w:left="720" w:hanging="360"/>
      </w:pPr>
    </w:lvl>
    <w:lvl w:ilvl="1" w:tplc="67512295" w:tentative="1">
      <w:start w:val="1"/>
      <w:numFmt w:val="lowerLetter"/>
      <w:lvlText w:val="%2."/>
      <w:lvlJc w:val="left"/>
      <w:pPr>
        <w:ind w:left="1440" w:hanging="360"/>
      </w:pPr>
    </w:lvl>
    <w:lvl w:ilvl="2" w:tplc="67512295" w:tentative="1">
      <w:start w:val="1"/>
      <w:numFmt w:val="lowerRoman"/>
      <w:lvlText w:val="%3."/>
      <w:lvlJc w:val="right"/>
      <w:pPr>
        <w:ind w:left="2160" w:hanging="180"/>
      </w:pPr>
    </w:lvl>
    <w:lvl w:ilvl="3" w:tplc="67512295" w:tentative="1">
      <w:start w:val="1"/>
      <w:numFmt w:val="decimal"/>
      <w:lvlText w:val="%4."/>
      <w:lvlJc w:val="left"/>
      <w:pPr>
        <w:ind w:left="2880" w:hanging="360"/>
      </w:pPr>
    </w:lvl>
    <w:lvl w:ilvl="4" w:tplc="67512295" w:tentative="1">
      <w:start w:val="1"/>
      <w:numFmt w:val="lowerLetter"/>
      <w:lvlText w:val="%5."/>
      <w:lvlJc w:val="left"/>
      <w:pPr>
        <w:ind w:left="3600" w:hanging="360"/>
      </w:pPr>
    </w:lvl>
    <w:lvl w:ilvl="5" w:tplc="67512295" w:tentative="1">
      <w:start w:val="1"/>
      <w:numFmt w:val="lowerRoman"/>
      <w:lvlText w:val="%6."/>
      <w:lvlJc w:val="right"/>
      <w:pPr>
        <w:ind w:left="4320" w:hanging="180"/>
      </w:pPr>
    </w:lvl>
    <w:lvl w:ilvl="6" w:tplc="67512295" w:tentative="1">
      <w:start w:val="1"/>
      <w:numFmt w:val="decimal"/>
      <w:lvlText w:val="%7."/>
      <w:lvlJc w:val="left"/>
      <w:pPr>
        <w:ind w:left="5040" w:hanging="360"/>
      </w:pPr>
    </w:lvl>
    <w:lvl w:ilvl="7" w:tplc="67512295" w:tentative="1">
      <w:start w:val="1"/>
      <w:numFmt w:val="lowerLetter"/>
      <w:lvlText w:val="%8."/>
      <w:lvlJc w:val="left"/>
      <w:pPr>
        <w:ind w:left="5760" w:hanging="360"/>
      </w:pPr>
    </w:lvl>
    <w:lvl w:ilvl="8" w:tplc="67512295" w:tentative="1">
      <w:start w:val="1"/>
      <w:numFmt w:val="lowerRoman"/>
      <w:lvlText w:val="%9."/>
      <w:lvlJc w:val="right"/>
      <w:pPr>
        <w:ind w:left="6480" w:hanging="180"/>
      </w:pPr>
    </w:lvl>
  </w:abstractNum>
  <w:abstractNum w:abstractNumId="90682142">
    <w:multiLevelType w:val="hybridMultilevel"/>
    <w:lvl w:ilvl="0" w:tplc="34332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682142">
    <w:abstractNumId w:val="90682142"/>
  </w:num>
  <w:num w:numId="90682143">
    <w:abstractNumId w:val="90682143"/>
  </w:num>
  <w:num w:numId="111521394">
    <w:abstractNumId w:val="111521394"/>
  </w:num>
  <w:num w:numId="539890214">
    <w:abstractNumId w:val="539890214"/>
  </w:num>
  <w:num w:numId="90682144">
    <w:abstractNumId w:val="90682144"/>
  </w:num>
  <w:num w:numId="90682145">
    <w:abstractNumId w:val="90682145"/>
  </w:num>
  <w:num w:numId="90682146">
    <w:abstractNumId w:val="90682146"/>
  </w:num>
  <w:num w:numId="90682147">
    <w:abstractNumId w:val="90682147"/>
  </w:num>
  <w:num w:numId="90682148">
    <w:abstractNumId w:val="90682148"/>
  </w:num>
  <w:num w:numId="90682149">
    <w:abstractNumId w:val="90682149"/>
  </w:num>
  <w:num w:numId="140678821">
    <w:abstractNumId w:val="140678821"/>
  </w:num>
  <w:num w:numId="554100606">
    <w:abstractNumId w:val="554100606"/>
  </w:num>
  <w:num w:numId="716684658">
    <w:abstractNumId w:val="716684658"/>
  </w:num>
  <w:num w:numId="839237325">
    <w:abstractNumId w:val="839237325"/>
  </w:num>
  <w:num w:numId="293302066">
    <w:abstractNumId w:val="293302066"/>
  </w:num>
  <w:num w:numId="192126907">
    <w:abstractNumId w:val="1921269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90745573" Type="http://schemas.openxmlformats.org/officeDocument/2006/relationships/numbering" Target="numbering.xml"/><Relationship Id="rId81028882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