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870725" w:name="document"/>
    <w:bookmarkEnd w:id="9870725"/>
    <w:p/>
    <w:p>
      <w:pPr>
        <w:widowControl w:val="on"/>
        <w:pBdr/>
        <w:spacing w:before="0" w:after="280" w:line="240" w:lineRule="auto"/>
        <w:ind w:left="0" w:right="0"/>
        <w:jc w:val="left"/>
      </w:pPr>
      <w:r>
        <w:rPr>
          <w:rFonts w:ascii="Arial" w:hAnsi="Arial" w:eastAsia="Arial" w:cs="Arial"/>
          <w:color w:val="363A40"/>
          <w:sz w:val="24"/>
          <w:szCs w:val="24"/>
        </w:rPr>
        <w:t xml:space="preserve">Dokument-ID: 972360 | Wolfgang Steinberger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Management Control and Profit and Loss Transfer Agreement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Control</w:t>
      </w:r>
    </w:p>
    <w:p>
      <w:pPr>
        <w:widowControl w:val="on"/>
        <w:pBdr/>
        <w:spacing w:before="140" w:after="240" w:line="288" w:lineRule="auto"/>
        <w:ind w:left="0" w:right="0"/>
        <w:jc w:val="left"/>
      </w:pPr>
      <w:r>
        <w:rPr>
          <w:rFonts w:ascii="Arial" w:hAnsi="Arial" w:eastAsia="Arial" w:cs="Arial"/>
          <w:color w:val="000000"/>
          <w:sz w:val="20"/>
          <w:szCs w:val="20"/>
        </w:rPr>
        <w:t xml:space="preserve">(1) The X HandelsGmbH (“XGmbH”) hereby submits to the management
control of the Artemis AG (“Artemis”). Artemis is authorised to
provide the directors of XGmbH with instructions on the management
of the business.</w:t>
      </w:r>
    </w:p>
    <w:p>
      <w:pPr>
        <w:widowControl w:val="on"/>
        <w:pBdr/>
        <w:spacing w:before="140" w:after="240" w:line="288" w:lineRule="auto"/>
        <w:ind w:left="0" w:right="0"/>
        <w:jc w:val="left"/>
      </w:pPr>
      <w:r>
        <w:rPr>
          <w:rFonts w:ascii="Arial" w:hAnsi="Arial" w:eastAsia="Arial" w:cs="Arial"/>
          <w:color w:val="000000"/>
          <w:sz w:val="20"/>
          <w:szCs w:val="20"/>
        </w:rPr>
        <w:t xml:space="preserve">(2) Instructions shall only be given through the Chief Executive
Officer of Artemis.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Transfer of Profits</w:t>
      </w:r>
    </w:p>
    <w:p>
      <w:pPr>
        <w:widowControl w:val="on"/>
        <w:pBdr/>
        <w:spacing w:before="140" w:after="240" w:line="288" w:lineRule="auto"/>
        <w:ind w:left="0" w:right="0"/>
        <w:jc w:val="left"/>
      </w:pPr>
      <w:r>
        <w:rPr>
          <w:rFonts w:ascii="Arial" w:hAnsi="Arial" w:eastAsia="Arial" w:cs="Arial"/>
          <w:color w:val="000000"/>
          <w:sz w:val="20"/>
          <w:szCs w:val="20"/>
        </w:rPr>
        <w:t xml:space="preserve">(1) XGmbH hereby agrees during the term of this agreement to
transfer to Artemis its entire profit. Profit shall be the annual
surplus (disregarding the transfer obligation hereunder) less any
losses carried forward from the previous year and less any reserve
amounts that shall have been created as a result of statutory
provisions or of XGmbH´s articles of association.</w:t>
      </w:r>
    </w:p>
    <w:p>
      <w:pPr>
        <w:widowControl w:val="on"/>
        <w:pBdr/>
        <w:spacing w:before="140" w:after="240" w:line="288" w:lineRule="auto"/>
        <w:ind w:left="0" w:right="0"/>
        <w:jc w:val="left"/>
      </w:pPr>
      <w:r>
        <w:rPr>
          <w:rFonts w:ascii="Arial" w:hAnsi="Arial" w:eastAsia="Arial" w:cs="Arial"/>
          <w:color w:val="000000"/>
          <w:sz w:val="20"/>
          <w:szCs w:val="20"/>
        </w:rPr>
        <w:t xml:space="preserve">(2) GmbH reserves its right to create profit reserves as
economically feasible and permitted by the Austrian Code of
Commerce. Upon demand of Artemis, such reserves shall be
released.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Assumption of Losses</w:t>
      </w:r>
    </w:p>
    <w:p>
      <w:pPr>
        <w:widowControl w:val="on"/>
        <w:pBdr/>
        <w:spacing w:before="140" w:after="240" w:line="288" w:lineRule="auto"/>
        <w:ind w:left="0" w:right="0"/>
        <w:jc w:val="left"/>
      </w:pPr>
      <w:r>
        <w:rPr>
          <w:rFonts w:ascii="Arial" w:hAnsi="Arial" w:eastAsia="Arial" w:cs="Arial"/>
          <w:color w:val="000000"/>
          <w:sz w:val="20"/>
          <w:szCs w:val="20"/>
        </w:rPr>
        <w:t xml:space="preserve">Artemis agrees to compensate GmbH for all losses accrued during
the therm of this Agreement that cannot be covered through release
of the profit reserves according to § 2 (2) above.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Preparation and Adoption of
Annual Report</w:t>
      </w:r>
    </w:p>
    <w:p>
      <w:pPr>
        <w:widowControl w:val="on"/>
        <w:pBdr/>
        <w:spacing w:before="140" w:after="240" w:line="288" w:lineRule="auto"/>
        <w:ind w:left="0" w:right="0"/>
        <w:jc w:val="left"/>
      </w:pPr>
      <w:r>
        <w:rPr>
          <w:rFonts w:ascii="Arial" w:hAnsi="Arial" w:eastAsia="Arial" w:cs="Arial"/>
          <w:color w:val="000000"/>
          <w:sz w:val="20"/>
          <w:szCs w:val="20"/>
        </w:rPr>
        <w:t xml:space="preserve">(1) The annual report of GmbH shall be prepared and adopted
prior to the annual report of Artemis AG.</w:t>
      </w:r>
    </w:p>
    <w:p>
      <w:pPr>
        <w:widowControl w:val="on"/>
        <w:pBdr/>
        <w:spacing w:before="140" w:after="240" w:line="288" w:lineRule="auto"/>
        <w:ind w:left="0" w:right="0"/>
        <w:jc w:val="left"/>
      </w:pPr>
      <w:r>
        <w:rPr>
          <w:rFonts w:ascii="Arial" w:hAnsi="Arial" w:eastAsia="Arial" w:cs="Arial"/>
          <w:color w:val="000000"/>
          <w:sz w:val="20"/>
          <w:szCs w:val="20"/>
        </w:rPr>
        <w:t xml:space="preserve">(2) The financial results of XGmbH to be assumed by Artemis AG
shall be reflected in AG´s annual report for the fiscal year that
shall end simultaneously with or after the fiscal year of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Duration of Agreement;
Condition for Validity</w:t>
      </w:r>
    </w:p>
    <w:p>
      <w:pPr>
        <w:widowControl w:val="on"/>
        <w:pBdr/>
        <w:spacing w:before="140" w:after="240" w:line="288" w:lineRule="auto"/>
        <w:ind w:left="0" w:right="0"/>
        <w:jc w:val="left"/>
      </w:pPr>
      <w:r>
        <w:rPr>
          <w:rFonts w:ascii="Arial" w:hAnsi="Arial" w:eastAsia="Arial" w:cs="Arial"/>
          <w:color w:val="000000"/>
          <w:sz w:val="20"/>
          <w:szCs w:val="20"/>
        </w:rPr>
        <w:t xml:space="preserve">(1) Except for the right of direction according to § 1
above, this Agreement shall come into force and effect as at the
start of the current fiscal year of XGmbH.</w:t>
      </w:r>
    </w:p>
    <w:p>
      <w:pPr>
        <w:widowControl w:val="on"/>
        <w:pBdr/>
        <w:spacing w:before="140" w:after="240" w:line="288" w:lineRule="auto"/>
        <w:ind w:left="0" w:right="0"/>
        <w:jc w:val="left"/>
      </w:pPr>
      <w:r>
        <w:rPr>
          <w:rFonts w:ascii="Arial" w:hAnsi="Arial" w:eastAsia="Arial" w:cs="Arial"/>
          <w:color w:val="000000"/>
          <w:sz w:val="20"/>
          <w:szCs w:val="20"/>
        </w:rPr>
        <w:t xml:space="preserve">(2) Notwithstanding the right to termination for good cause,
this Agreement shall remain effective until … and thereafter be
extended for a further period of … years unless terminated in
writing before the start date of its final year.</w:t>
      </w:r>
    </w:p>
    <w:p>
      <w:pPr>
        <w:widowControl w:val="on"/>
        <w:pBdr/>
        <w:spacing w:before="140" w:after="240" w:line="288" w:lineRule="auto"/>
        <w:ind w:left="0" w:right="0"/>
        <w:jc w:val="left"/>
      </w:pPr>
      <w:r>
        <w:rPr>
          <w:rFonts w:ascii="Arial" w:hAnsi="Arial" w:eastAsia="Arial" w:cs="Arial"/>
          <w:color w:val="000000"/>
          <w:sz w:val="20"/>
          <w:szCs w:val="20"/>
        </w:rPr>
        <w:t xml:space="preserve">(3) The full or partial sale of the shares of AG in GmbH causing
the loss of the majority of voting rights in the shareholders´
meeting for AG shall be regarded as good cause for termination.</w:t>
      </w:r>
    </w:p>
    <w:p>
      <w:pPr>
        <w:widowControl w:val="on"/>
        <w:pBdr/>
        <w:spacing w:before="140" w:after="240" w:line="288" w:lineRule="auto"/>
        <w:ind w:left="0" w:right="0"/>
        <w:jc w:val="left"/>
      </w:pPr>
      <w:r>
        <w:rPr>
          <w:rFonts w:ascii="Arial" w:hAnsi="Arial" w:eastAsia="Arial" w:cs="Arial"/>
          <w:color w:val="000000"/>
          <w:sz w:val="20"/>
          <w:szCs w:val="20"/>
        </w:rPr>
        <w:t xml:space="preserve">(4) This Agreement shall come into full force and affect upon
approval of all shareholders of XGmbH and the shareholders´ meeting
of Artemis 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Final Provision</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reflects the final agreement of the Parties on
the terms and conditions specified herein. There are no collateral
agreements, whether oral oder written.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Amendments and
Additions</w:t>
      </w:r>
    </w:p>
    <w:p>
      <w:pPr>
        <w:widowControl w:val="on"/>
        <w:pBdr/>
        <w:spacing w:before="140" w:after="240" w:line="288" w:lineRule="auto"/>
        <w:ind w:left="0" w:right="0"/>
        <w:jc w:val="left"/>
      </w:pPr>
      <w:r>
        <w:rPr>
          <w:rFonts w:ascii="Arial" w:hAnsi="Arial" w:eastAsia="Arial" w:cs="Arial"/>
          <w:color w:val="000000"/>
          <w:sz w:val="20"/>
          <w:szCs w:val="20"/>
        </w:rPr>
        <w:t xml:space="preserve">No amendments and additions to this Agreement shall be effective
unless the same shall be in writing in a uniform document signed by
the contracting Parties unless a notaries certification is
required. This formal requirement shall also apply if the
requirement of a written document is departed from.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Partial Invalidity</w:t>
      </w:r>
    </w:p>
    <w:p>
      <w:pPr>
        <w:widowControl w:val="on"/>
        <w:pBdr/>
        <w:spacing w:before="140" w:after="240" w:line="288" w:lineRule="auto"/>
        <w:ind w:left="0" w:right="0"/>
        <w:jc w:val="left"/>
      </w:pPr>
      <w:r>
        <w:rPr>
          <w:rFonts w:ascii="Arial" w:hAnsi="Arial" w:eastAsia="Arial" w:cs="Arial"/>
          <w:color w:val="000000"/>
          <w:sz w:val="20"/>
          <w:szCs w:val="20"/>
        </w:rPr>
        <w:t xml:space="preserve">If any one or more of the provisions of this Agreement should be
invalid or ineffective or become ineffective due to later
circumstances or if both Parties mutually agree that there is a
loophole in the Agreement, the validity of the remaining provisions
shall not be affected thereby. The contracting Parties agree that
in such a case the Agreement shall be supplemented by valid
provisions corresponding to the legal and economic purpose of the
invalid or incomplete provisions of the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Governing Law</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governed exclusively by the substantive
law of the Republic of Austria excluding any conflict of law
provisions. This shall also apply to the issue of the conclusion of
this Agreement as well as to the legal consequences of its
after-effect.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Arbitration</w:t>
      </w:r>
    </w:p>
    <w:p>
      <w:pPr>
        <w:widowControl w:val="on"/>
        <w:pBdr/>
        <w:spacing w:before="140" w:after="240" w:line="288" w:lineRule="auto"/>
        <w:ind w:left="0" w:right="0"/>
        <w:jc w:val="left"/>
      </w:pPr>
      <w:r>
        <w:rPr>
          <w:rFonts w:ascii="Arial" w:hAnsi="Arial" w:eastAsia="Arial" w:cs="Arial"/>
          <w:color w:val="000000"/>
          <w:sz w:val="20"/>
          <w:szCs w:val="20"/>
        </w:rPr>
        <w:t xml:space="preserve">The Parties shall endeavour to amicably settle any disputes
arising out of or in connection with the performance of this
Agreement. If an amicable settlement cannot be reached, the
contracting Parties shall submit all disputes arising out of or in
connection with the present Agreement or its validity and also the
validity of this arbitration clause to an arbitration tribunal
consisting of one or a plurality of arbitrators in accordance with
the Rules of Conciliation and Arbitration of the International
Chamber of Commerce, ousting the jurisdiction of the courts. The
German language shall be used in the arbitral proceedings. The
place of arbitration shall be …</w:t>
      </w:r>
    </w:p>
    <w:p>
      <w:pPr>
        <w:widowControl w:val="on"/>
        <w:pBdr/>
        <w:spacing w:before="140" w:after="240" w:line="288" w:lineRule="auto"/>
        <w:ind w:left="0" w:right="0"/>
        <w:jc w:val="left"/>
      </w:pPr>
      <w:r>
        <w:rPr>
          <w:rFonts w:ascii="Arial" w:hAnsi="Arial" w:eastAsia="Arial" w:cs="Arial"/>
          <w:color w:val="000000"/>
          <w:sz w:val="20"/>
          <w:szCs w:val="20"/>
        </w:rPr>
        <w:t xml:space="preserve">Summary proceedings shall expressly be excluded from this
arbitration clause and shall be reserved to the courts of law.</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Counterparts</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executed in two counterparts in German
and shall be legally binding exclusively in the German version.</w:t>
      </w:r>
    </w:p>
    <w:p>
      <w:pPr>
        <w:widowControl w:val="on"/>
        <w:pBdr/>
        <w:spacing w:before="140" w:after="240" w:line="288" w:lineRule="auto"/>
        <w:ind w:left="0" w:right="0"/>
        <w:jc w:val="left"/>
      </w:pPr>
      <w:r>
        <w:rPr>
          <w:rFonts w:ascii="Arial" w:hAnsi="Arial" w:eastAsia="Arial" w:cs="Arial"/>
          <w:color w:val="000000"/>
          <w:sz w:val="20"/>
          <w:szCs w:val="20"/>
        </w:rPr>
        <w:t xml:space="preserve">Place, date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77010">
    <w:multiLevelType w:val="hybridMultilevel"/>
    <w:lvl w:ilvl="0" w:tplc="66641982">
      <w:start w:val="1"/>
      <w:numFmt w:val="decimal"/>
      <w:lvlText w:val="%1."/>
      <w:lvlJc w:val="left"/>
      <w:pPr>
        <w:ind w:left="720" w:hanging="360"/>
      </w:pPr>
    </w:lvl>
    <w:lvl w:ilvl="1" w:tplc="66641982" w:tentative="1">
      <w:start w:val="1"/>
      <w:numFmt w:val="lowerLetter"/>
      <w:lvlText w:val="%2."/>
      <w:lvlJc w:val="left"/>
      <w:pPr>
        <w:ind w:left="1440" w:hanging="360"/>
      </w:pPr>
    </w:lvl>
    <w:lvl w:ilvl="2" w:tplc="66641982" w:tentative="1">
      <w:start w:val="1"/>
      <w:numFmt w:val="lowerRoman"/>
      <w:lvlText w:val="%3."/>
      <w:lvlJc w:val="right"/>
      <w:pPr>
        <w:ind w:left="2160" w:hanging="180"/>
      </w:pPr>
    </w:lvl>
    <w:lvl w:ilvl="3" w:tplc="66641982" w:tentative="1">
      <w:start w:val="1"/>
      <w:numFmt w:val="decimal"/>
      <w:lvlText w:val="%4."/>
      <w:lvlJc w:val="left"/>
      <w:pPr>
        <w:ind w:left="2880" w:hanging="360"/>
      </w:pPr>
    </w:lvl>
    <w:lvl w:ilvl="4" w:tplc="66641982" w:tentative="1">
      <w:start w:val="1"/>
      <w:numFmt w:val="lowerLetter"/>
      <w:lvlText w:val="%5."/>
      <w:lvlJc w:val="left"/>
      <w:pPr>
        <w:ind w:left="3600" w:hanging="360"/>
      </w:pPr>
    </w:lvl>
    <w:lvl w:ilvl="5" w:tplc="66641982" w:tentative="1">
      <w:start w:val="1"/>
      <w:numFmt w:val="lowerRoman"/>
      <w:lvlText w:val="%6."/>
      <w:lvlJc w:val="right"/>
      <w:pPr>
        <w:ind w:left="4320" w:hanging="180"/>
      </w:pPr>
    </w:lvl>
    <w:lvl w:ilvl="6" w:tplc="66641982" w:tentative="1">
      <w:start w:val="1"/>
      <w:numFmt w:val="decimal"/>
      <w:lvlText w:val="%7."/>
      <w:lvlJc w:val="left"/>
      <w:pPr>
        <w:ind w:left="5040" w:hanging="360"/>
      </w:pPr>
    </w:lvl>
    <w:lvl w:ilvl="7" w:tplc="66641982" w:tentative="1">
      <w:start w:val="1"/>
      <w:numFmt w:val="lowerLetter"/>
      <w:lvlText w:val="%8."/>
      <w:lvlJc w:val="left"/>
      <w:pPr>
        <w:ind w:left="5760" w:hanging="360"/>
      </w:pPr>
    </w:lvl>
    <w:lvl w:ilvl="8" w:tplc="66641982" w:tentative="1">
      <w:start w:val="1"/>
      <w:numFmt w:val="lowerRoman"/>
      <w:lvlText w:val="%9."/>
      <w:lvlJc w:val="right"/>
      <w:pPr>
        <w:ind w:left="6480" w:hanging="180"/>
      </w:pPr>
    </w:lvl>
  </w:abstractNum>
  <w:abstractNum w:abstractNumId="26777009">
    <w:multiLevelType w:val="hybridMultilevel"/>
    <w:lvl w:ilvl="0" w:tplc="11563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77009">
    <w:abstractNumId w:val="26777009"/>
  </w:num>
  <w:num w:numId="26777010">
    <w:abstractNumId w:val="26777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76643203" Type="http://schemas.openxmlformats.org/officeDocument/2006/relationships/numbering" Target="numbering.xml"/><Relationship Id="rId7418219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