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9374524" w:name="document"/>
    <w:bookmarkEnd w:id="29374524"/>
    <w:p/>
    <w:p>
      <w:pPr>
        <w:widowControl w:val="on"/>
        <w:pBdr/>
        <w:spacing w:before="0" w:after="280" w:line="240" w:lineRule="auto"/>
        <w:ind w:left="0" w:right="0"/>
        <w:jc w:val="left"/>
      </w:pPr>
      <w:r>
        <w:rPr>
          <w:rFonts w:ascii="Arial" w:hAnsi="Arial" w:eastAsia="Arial" w:cs="Arial"/>
          <w:color w:val="363A40"/>
          <w:sz w:val="24"/>
          <w:szCs w:val="24"/>
        </w:rPr>
        <w:t xml:space="preserve">Dokument-ID: 868235 | Wolfgang Steinberger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Rules of Procedure for the Management Board (Geschäftsordnung
für den Vorstand)</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Rules of Procedure for the
Management Board of X Research AG</w:t>
      </w:r>
    </w:p>
    <w:p>
      <w:pPr>
        <w:widowControl w:val="on"/>
        <w:pBdr/>
        <w:spacing w:before="140" w:after="240" w:line="288" w:lineRule="auto"/>
        <w:ind w:left="0" w:right="0"/>
        <w:jc w:val="left"/>
      </w:pPr>
      <w:r>
        <w:rPr>
          <w:rFonts w:ascii="Arial" w:hAnsi="Arial" w:eastAsia="Arial" w:cs="Arial"/>
          <w:color w:val="000000"/>
          <w:sz w:val="20"/>
          <w:szCs w:val="20"/>
        </w:rPr>
        <w:t xml:space="preserve">Adopted by the Supervisory Board of X Research AG with its
registered seat in Vienna, Austria (the „Company“), on …</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 General</w:t>
      </w:r>
    </w:p>
    <w:p>
      <w:pPr>
        <w:widowControl w:val="on"/>
        <w:pBdr/>
        <w:spacing w:before="140" w:after="240" w:line="288" w:lineRule="auto"/>
        <w:ind w:left="0" w:right="0"/>
        <w:jc w:val="left"/>
      </w:pPr>
      <w:r>
        <w:rPr>
          <w:rFonts w:ascii="Arial" w:hAnsi="Arial" w:eastAsia="Arial" w:cs="Arial"/>
          <w:color w:val="000000"/>
          <w:sz w:val="20"/>
          <w:szCs w:val="20"/>
        </w:rPr>
        <w:t xml:space="preserve">The Management Board shall conduct the Company's business under
its own responsibility. It shall take the necessary decisions and
measures in performance of this duty. It shall conduct the business
taking into account the relevant regulations and the usual
principles of trade. It shall be responsible for all matters that
are not allocated to the Shareholders' Meeting, the Supervisory
Board or one of its committees. Subject to §§ 3 and 4 of these
Rules of Procedure, the Management Board shall be responsible
collectively for the management of the Company. The members of the
Management Board shall provide each other with mutual assistance
and shall keep themselves informed about all matters concerning the
Company. Each member of the Management Board shall be entitled to
inspect all business documents such as the business books and the
minutes of the company.</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Chair</w:t>
      </w:r>
    </w:p>
    <w:p>
      <w:pPr>
        <w:widowControl w:val="on"/>
        <w:pBdr/>
        <w:spacing w:before="140" w:after="240" w:line="288" w:lineRule="auto"/>
        <w:ind w:left="0" w:right="0"/>
        <w:jc w:val="left"/>
      </w:pPr>
      <w:r>
        <w:rPr>
          <w:rFonts w:ascii="Arial" w:hAnsi="Arial" w:eastAsia="Arial" w:cs="Arial"/>
          <w:color w:val="000000"/>
          <w:sz w:val="20"/>
          <w:szCs w:val="20"/>
        </w:rPr>
        <w:t xml:space="preserve">The Supervisory Board may appoint a Chairman of the Management
Board and a Deputy Chairman of the Management Board.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Distribution of Business
Duties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distribution of the business duties within the Management
Board, if the Management Board consists of more than one member,
are determined by the Management Board according to the necessities
of the management of the business and are subject to approval of
the Supervisory Board. The current distribution of business duties
is attached as Appendix A.</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Resolutions of the complete Management Board shall in any case
be required for:</w:t>
            </w:r>
          </w:p>
          <w:p>
            <w:pPr>
              <w:numPr>
                <w:ilvl w:val="0"/>
                <w:numId w:val="30272280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decisions concerning all measures and legal transactions that
require the consent of the Supervisory Board, and all reports to
the Supervisory Board pursuant to § 81 AktG and § 95 para
2 AktG;</w:t>
            </w:r>
          </w:p>
          <w:p>
            <w:pPr>
              <w:numPr>
                <w:ilvl w:val="0"/>
                <w:numId w:val="30272280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decisions concerning the fundamental business policy of the
company;</w:t>
            </w:r>
          </w:p>
          <w:p>
            <w:pPr>
              <w:numPr>
                <w:ilvl w:val="0"/>
                <w:numId w:val="30272280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transactions and measures outside regular business which are of
particular importance for the Company;</w:t>
            </w:r>
          </w:p>
          <w:p>
            <w:pPr>
              <w:numPr>
                <w:ilvl w:val="0"/>
                <w:numId w:val="30272280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all measures simultaneously affecting the spheres of business
of two or more members of the Management Board;</w:t>
            </w:r>
          </w:p>
          <w:p>
            <w:pPr>
              <w:numPr>
                <w:ilvl w:val="0"/>
                <w:numId w:val="30272280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preparation of (i) the annual accounts, (ii) the proposal
for dividend distribution and (iii) the annual report</w:t>
            </w:r>
          </w:p>
          <w:p>
            <w:pPr>
              <w:numPr>
                <w:ilvl w:val="0"/>
                <w:numId w:val="30272280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convocation of shareholders' meetings;</w:t>
            </w:r>
          </w:p>
          <w:p>
            <w:pPr>
              <w:numPr>
                <w:ilvl w:val="0"/>
                <w:numId w:val="30272280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he objection of resolutions of the shareholders' meeting
pursuant to § 196 para I no 4 AKtG;</w:t>
            </w:r>
          </w:p>
          <w:p>
            <w:pPr>
              <w:numPr>
                <w:ilvl w:val="0"/>
                <w:numId w:val="30272280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all matters that are subject to approval of the Company's
Shareholders' Meeting; and</w:t>
            </w:r>
          </w:p>
          <w:p>
            <w:pPr>
              <w:numPr>
                <w:ilvl w:val="0"/>
                <w:numId w:val="30272280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conclusion of contracts with suppliers and customers, if
the agreed sum exceeds EUR 100,000,– (excluding VAT) in the
individual case and EUR 250,000,– (excluding VAT) in total in
the financial year for a particular supplier or customer.</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Duties of the Management
Board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members of the Management Board shall ensure the orderly
handling of business in their spheres of business.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members of the Management Board shall make the decisions in
their sphere of business independently, unless a resolution of the
complete Management Board is required pursuant to § 3 (2) of
these Rules of Procedure.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members of the Management Board shall inform each other
about all important matters in their sphere of business and about
such matters that might be of particular importance for other
spheres of business.</w:t>
            </w:r>
            <w:r>
              <w:rPr>
                <w:rFonts w:ascii="Arial" w:hAnsi="Arial" w:eastAsia="Arial" w:cs="Arial"/>
                <w:color w:val="000000"/>
                <w:position w:val="0"/>
                <w:sz w:val="20"/>
                <w:szCs w:val="20"/>
                <w:shd w:val="clear" w:color="auto" w:fill="FFFFFF"/>
              </w:rPr>
              <w:br/>
              <w:t xml:space="preserve">Each member of the Management Board shall be entitled to demand a
resolution in the Management Board concerning any matter of his
sphere of business or the sphere of business of another member of
the Management Board.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Transactions subject to
Consent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Management Board shall require the prior consent of the
Supervisory Board for the following transactions, such consent to
be given by resolution of the Supervisory Board in accordance with
the rules of procedure for the Supervisory Board:</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acquisition and disposal of shareholdings (§ 228 UGB)
and the acquisition, disposal and closure of enterprises and
businesses;</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acquisition, disposal and charging of real estate;</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establishment and closure of branches;</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investments exceeding EUR 35,000,– in the individual case
and EUR 100,000,– in total in the financial year unless
covered by the approved budget (see § 5 para 3 below);</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take-out of loans, bonds and credits exceeding the amount
of EUR 100,000,– in total in any financial year unless covered
by the approved budget (see § 5 para 3 below);</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grant of loans and credits exceeding the amount of
EUR 100,000,– in total in any financial year unless covered by
the approved budget (see § 5 para 3 below);</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establishment and termination of lines of businesses and
types of production;</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determination of general principles of business
policy;</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determination of principles for granting profit or turnover
participations and pension commitments to senior employees within
the meaning of § 80 para 1 AktG or any other person;</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granting of stock options of the Company to employees and
senior employees of the Company or of an affiliated company as well
as to members of the management board and the supervisory board of
affiliated companies;</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appointment of authorized agents (Prokuristen) and the
granting of general power of attorney (Handlungsvollmacht);</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conclusion of agreements with members of the Supervisory
Board by which they commit themselves outside their function as
members of the Supervisory Board towards the company or a
subsidiary (§ 228 para 3 UGB) to render services for a
consideration exceeding a negligible amount; the same shall apply
to agreements with undertakings in which a member of the
Supervisory Board has a considerable economic interest;</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engagement as senior employee (§ 80 AktG), within two
years after execution of an audit opinion, of the auditor, the
group auditor, the auditor of an affiliated major company or the
certified accountant who signed the audit opinion or a person
engaged by him, who had a significant position in the audit, in
each case to the extent not prohibited pursuant to § 271c
UGB;</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measures by which the Management Board utilizes an
authorization granted to it in accordance with § 102 para 3 or
4 AktG;</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decisions concerning the existence of the Company, or an
essential amendment to the object of the Company;</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annual budget;</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acquisition, lease or other take-overs of foreign companies
and businesses;</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agreements that are both of a fundamental nature and
exceptional significance to the Company and that fall outside of
normal business transactions and are not single business
cases;</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purchase or sale of patents, the granting of patent
licenses and the purchase of exclusive patent licenses by the
Company;</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transactions (outside the management contract) between the
company and a member of the Management Board that grant financial
advantages to a member of the Management Board;</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management decisions in case several members of the Management
Board cannot reach a resolution on a certain business issue;</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any sale or license of all or substantially all of the
company's assets; and</w:t>
            </w:r>
          </w:p>
          <w:p>
            <w:pPr>
              <w:numPr>
                <w:ilvl w:val="0"/>
                <w:numId w:val="9664297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issuance of guarantees or letters of comfort or similar
obligations exceeding EUR 100,000,– in total in a financial
year unless covered by the approved budget (see § 5 para 3
below).</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amounts described in para (1) above shall be considered
excluding VAT, if applicable, and are value-based on the monthly
index of consumer prices 2010, published by Statistik Austria.
Should this index no longer be published the index that approaches
this index the closest shall apply as the basis of indexation. The
starting point for this indexation clause is the index figure
calculated for the month April 2010.</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approval of the transactions and measures listed in para (1)
above that are carried out during one fiscal year, is not necessary
as far as these transactions and activities are covered by the
annual budget approved without any reservation by the Supervisory
Board for the respective fiscal year.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consent may, even for single categories of transactions, be
given in advance, if the Supervisory Board or one of its committees
has granted authorizations in advance, they shall apply for a
maximum of one year in advance. The Management Board shall report
on whether the authorizations have been made use of on a yearly
basis.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Management Board will make sure, as far as legally
permissible, that the transactions and legal acts mentioned under
para (1) above shall be subject to shareholders approval on the
level of direct and indirect subsidiaries of the Company.</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Meetings of the Management
Board/Resolutions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If the Management Board consists of two or more members, an
ordinary meeting of the Management Board shall take place at
intervals as agreed by the Management Board. Extraordinary meetings
of the Management Board shall be held according to requirements.
They can be convened by each member of the Management Board.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the event that a member of the Management Board is appointed
as Chairman according to § 2 of these Rules of Procedure, such
member shall chair the meeting. Otherwise, the meetings shall be
chaired by the member of the Management Board oldest in age. To the
extent necessary for assessing the decisions to be examined, the
members of the Management Board shall be given sufficient
opportunity to familiarise themselves with the proposed subject
matters of discussion before the meeting.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Management Board shall constitute a quorum if all Management
Board members are present or represented.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Resolutions of the Management Board shall be adopted by simple
majority of votes. In the event of tied votes the Chairman of the
Management Board, if any, shall have the casting vote.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Resolutions of the Management Board may be passed in and outside
of Management Board meetings. Resolutions may be passed in writing,
by fax, by e-mail or orally (including telephone).</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7 Illness, Inability to
attend, Allocation of leave</w:t>
      </w:r>
    </w:p>
    <w:p>
      <w:pPr>
        <w:widowControl w:val="on"/>
        <w:pBdr/>
        <w:spacing w:before="140" w:after="240" w:line="288" w:lineRule="auto"/>
        <w:ind w:left="0" w:right="0"/>
        <w:jc w:val="left"/>
      </w:pPr>
      <w:r>
        <w:rPr>
          <w:rFonts w:ascii="Arial" w:hAnsi="Arial" w:eastAsia="Arial" w:cs="Arial"/>
          <w:color w:val="000000"/>
          <w:sz w:val="20"/>
          <w:szCs w:val="20"/>
        </w:rPr>
        <w:t xml:space="preserve">In the event of illness and inability to attend, the members of
the Management Board shall notify each other immediately. If the
other members of the Management Board cannot be reached, the
Chairman of the Supervisory Board shall be notified immediately.
Holidays shall be allocated between the members of the Management
Board by mutual agreement. At the same time, measures shall be
taken to ensure the due continuation of business during the
leave.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8 Supervisory Board
Resolutions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Management Board shall prepare the materials for resolutions
to be adopted by the Supervisory Board and its committees.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Management Board shall – as far as legally permitted –
implement the Supervisory Board's resolutions unless the
responsibility for such implementation lies with the Chairman of
the Supervisory Board.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9 Reports to the Supervisory
Board</w:t>
      </w:r>
    </w:p>
    <w:p>
      <w:pPr>
        <w:widowControl w:val="on"/>
        <w:pBdr/>
        <w:spacing w:before="140" w:after="240" w:line="288" w:lineRule="auto"/>
        <w:ind w:left="0" w:right="0"/>
        <w:jc w:val="left"/>
      </w:pPr>
      <w:r>
        <w:rPr>
          <w:rFonts w:ascii="Arial" w:hAnsi="Arial" w:eastAsia="Arial" w:cs="Arial"/>
          <w:color w:val="000000"/>
          <w:sz w:val="20"/>
          <w:szCs w:val="20"/>
        </w:rPr>
        <w:t xml:space="preserve">The Management Board shall comply with the reporting duties
according to the mandatory provisions of the Austrian Stock
Corporation Act (§ 81 AktG and § 95 para 2 AktG).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10 Lack of Impartiality</w:t>
      </w:r>
    </w:p>
    <w:p>
      <w:pPr>
        <w:widowControl w:val="on"/>
        <w:pBdr/>
        <w:spacing w:before="140" w:after="240" w:line="288" w:lineRule="auto"/>
        <w:ind w:left="0" w:right="0"/>
        <w:jc w:val="left"/>
      </w:pPr>
      <w:r>
        <w:rPr>
          <w:rFonts w:ascii="Arial" w:hAnsi="Arial" w:eastAsia="Arial" w:cs="Arial"/>
          <w:color w:val="000000"/>
          <w:sz w:val="20"/>
          <w:szCs w:val="20"/>
        </w:rPr>
        <w:t xml:space="preserve">If matters are dealt with in the Management Board that affect
the personal or commercial interests of one of its members, this
member shall not participate in the adoption of the resolution
concerning these matters.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11 Severability</w:t>
      </w:r>
    </w:p>
    <w:p>
      <w:pPr>
        <w:widowControl w:val="on"/>
        <w:pBdr/>
        <w:spacing w:before="140" w:after="240" w:line="288" w:lineRule="auto"/>
        <w:ind w:left="0" w:right="0"/>
        <w:jc w:val="left"/>
      </w:pPr>
      <w:r>
        <w:rPr>
          <w:rFonts w:ascii="Arial" w:hAnsi="Arial" w:eastAsia="Arial" w:cs="Arial"/>
          <w:color w:val="000000"/>
          <w:sz w:val="20"/>
          <w:szCs w:val="20"/>
        </w:rPr>
        <w:t xml:space="preserve">If any provision hereof is or becomes ineffective or invalid,
this shall not affect the validity of the remaining provisions of
these Rules of Procedure. The Supervisory Board shall without delay
resolve to replace the invalid provisions by such provisions that
closest reflect their economic purpose.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12 Entry-into-force</w:t>
      </w:r>
    </w:p>
    <w:p>
      <w:pPr>
        <w:widowControl w:val="on"/>
        <w:pBdr/>
        <w:spacing w:before="140" w:after="240" w:line="288" w:lineRule="auto"/>
        <w:ind w:left="0" w:right="0"/>
        <w:jc w:val="left"/>
      </w:pPr>
      <w:r>
        <w:rPr>
          <w:rFonts w:ascii="Arial" w:hAnsi="Arial" w:eastAsia="Arial" w:cs="Arial"/>
          <w:color w:val="000000"/>
          <w:sz w:val="20"/>
          <w:szCs w:val="20"/>
        </w:rPr>
        <w:t xml:space="preserve">These Rules of Procedure shall become effective as of the day
resolved by the Supervisory Board.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13 Closing Provision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Each member of the Management Board shall receive a copy of
these Rules of procedure against written confirmation of receipt. A
copy shall also be delivered to the members of the Supervisory
Board.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Supervisory Board shall resolve on any amendment and/or
supplement to these Rules of Procedure.</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42971">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302722801">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92967056">
    <w:multiLevelType w:val="hybridMultilevel"/>
    <w:lvl w:ilvl="0" w:tplc="17163605">
      <w:start w:val="1"/>
      <w:numFmt w:val="decimal"/>
      <w:lvlText w:val="%1."/>
      <w:lvlJc w:val="left"/>
      <w:pPr>
        <w:ind w:left="720" w:hanging="360"/>
      </w:pPr>
    </w:lvl>
    <w:lvl w:ilvl="1" w:tplc="17163605" w:tentative="1">
      <w:start w:val="1"/>
      <w:numFmt w:val="lowerLetter"/>
      <w:lvlText w:val="%2."/>
      <w:lvlJc w:val="left"/>
      <w:pPr>
        <w:ind w:left="1440" w:hanging="360"/>
      </w:pPr>
    </w:lvl>
    <w:lvl w:ilvl="2" w:tplc="17163605" w:tentative="1">
      <w:start w:val="1"/>
      <w:numFmt w:val="lowerRoman"/>
      <w:lvlText w:val="%3."/>
      <w:lvlJc w:val="right"/>
      <w:pPr>
        <w:ind w:left="2160" w:hanging="180"/>
      </w:pPr>
    </w:lvl>
    <w:lvl w:ilvl="3" w:tplc="17163605" w:tentative="1">
      <w:start w:val="1"/>
      <w:numFmt w:val="decimal"/>
      <w:lvlText w:val="%4."/>
      <w:lvlJc w:val="left"/>
      <w:pPr>
        <w:ind w:left="2880" w:hanging="360"/>
      </w:pPr>
    </w:lvl>
    <w:lvl w:ilvl="4" w:tplc="17163605" w:tentative="1">
      <w:start w:val="1"/>
      <w:numFmt w:val="lowerLetter"/>
      <w:lvlText w:val="%5."/>
      <w:lvlJc w:val="left"/>
      <w:pPr>
        <w:ind w:left="3600" w:hanging="360"/>
      </w:pPr>
    </w:lvl>
    <w:lvl w:ilvl="5" w:tplc="17163605" w:tentative="1">
      <w:start w:val="1"/>
      <w:numFmt w:val="lowerRoman"/>
      <w:lvlText w:val="%6."/>
      <w:lvlJc w:val="right"/>
      <w:pPr>
        <w:ind w:left="4320" w:hanging="180"/>
      </w:pPr>
    </w:lvl>
    <w:lvl w:ilvl="6" w:tplc="17163605" w:tentative="1">
      <w:start w:val="1"/>
      <w:numFmt w:val="decimal"/>
      <w:lvlText w:val="%7."/>
      <w:lvlJc w:val="left"/>
      <w:pPr>
        <w:ind w:left="5040" w:hanging="360"/>
      </w:pPr>
    </w:lvl>
    <w:lvl w:ilvl="7" w:tplc="17163605" w:tentative="1">
      <w:start w:val="1"/>
      <w:numFmt w:val="lowerLetter"/>
      <w:lvlText w:val="%8."/>
      <w:lvlJc w:val="left"/>
      <w:pPr>
        <w:ind w:left="5760" w:hanging="360"/>
      </w:pPr>
    </w:lvl>
    <w:lvl w:ilvl="8" w:tplc="17163605" w:tentative="1">
      <w:start w:val="1"/>
      <w:numFmt w:val="lowerRoman"/>
      <w:lvlText w:val="%9."/>
      <w:lvlJc w:val="right"/>
      <w:pPr>
        <w:ind w:left="6480" w:hanging="180"/>
      </w:pPr>
    </w:lvl>
  </w:abstractNum>
  <w:abstractNum w:abstractNumId="92967055">
    <w:multiLevelType w:val="hybridMultilevel"/>
    <w:lvl w:ilvl="0" w:tplc="24816621">
      <w:start w:val="1"/>
      <w:numFmt w:val="decimal"/>
      <w:lvlText w:val="%1."/>
      <w:lvlJc w:val="left"/>
      <w:pPr>
        <w:ind w:left="720" w:hanging="360"/>
      </w:pPr>
    </w:lvl>
    <w:lvl w:ilvl="1" w:tplc="24816621" w:tentative="1">
      <w:start w:val="1"/>
      <w:numFmt w:val="lowerLetter"/>
      <w:lvlText w:val="%2."/>
      <w:lvlJc w:val="left"/>
      <w:pPr>
        <w:ind w:left="1440" w:hanging="360"/>
      </w:pPr>
    </w:lvl>
    <w:lvl w:ilvl="2" w:tplc="24816621" w:tentative="1">
      <w:start w:val="1"/>
      <w:numFmt w:val="lowerRoman"/>
      <w:lvlText w:val="%3."/>
      <w:lvlJc w:val="right"/>
      <w:pPr>
        <w:ind w:left="2160" w:hanging="180"/>
      </w:pPr>
    </w:lvl>
    <w:lvl w:ilvl="3" w:tplc="24816621" w:tentative="1">
      <w:start w:val="1"/>
      <w:numFmt w:val="decimal"/>
      <w:lvlText w:val="%4."/>
      <w:lvlJc w:val="left"/>
      <w:pPr>
        <w:ind w:left="2880" w:hanging="360"/>
      </w:pPr>
    </w:lvl>
    <w:lvl w:ilvl="4" w:tplc="24816621" w:tentative="1">
      <w:start w:val="1"/>
      <w:numFmt w:val="lowerLetter"/>
      <w:lvlText w:val="%5."/>
      <w:lvlJc w:val="left"/>
      <w:pPr>
        <w:ind w:left="3600" w:hanging="360"/>
      </w:pPr>
    </w:lvl>
    <w:lvl w:ilvl="5" w:tplc="24816621" w:tentative="1">
      <w:start w:val="1"/>
      <w:numFmt w:val="lowerRoman"/>
      <w:lvlText w:val="%6."/>
      <w:lvlJc w:val="right"/>
      <w:pPr>
        <w:ind w:left="4320" w:hanging="180"/>
      </w:pPr>
    </w:lvl>
    <w:lvl w:ilvl="6" w:tplc="24816621" w:tentative="1">
      <w:start w:val="1"/>
      <w:numFmt w:val="decimal"/>
      <w:lvlText w:val="%7."/>
      <w:lvlJc w:val="left"/>
      <w:pPr>
        <w:ind w:left="5040" w:hanging="360"/>
      </w:pPr>
    </w:lvl>
    <w:lvl w:ilvl="7" w:tplc="24816621" w:tentative="1">
      <w:start w:val="1"/>
      <w:numFmt w:val="lowerLetter"/>
      <w:lvlText w:val="%8."/>
      <w:lvlJc w:val="left"/>
      <w:pPr>
        <w:ind w:left="5760" w:hanging="360"/>
      </w:pPr>
    </w:lvl>
    <w:lvl w:ilvl="8" w:tplc="24816621" w:tentative="1">
      <w:start w:val="1"/>
      <w:numFmt w:val="lowerRoman"/>
      <w:lvlText w:val="%9."/>
      <w:lvlJc w:val="right"/>
      <w:pPr>
        <w:ind w:left="6480" w:hanging="180"/>
      </w:pPr>
    </w:lvl>
  </w:abstractNum>
  <w:abstractNum w:abstractNumId="990422717">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92967054">
    <w:multiLevelType w:val="hybridMultilevel"/>
    <w:lvl w:ilvl="0" w:tplc="71799906">
      <w:start w:val="1"/>
      <w:numFmt w:val="decimal"/>
      <w:lvlText w:val="%1."/>
      <w:lvlJc w:val="left"/>
      <w:pPr>
        <w:ind w:left="720" w:hanging="360"/>
      </w:pPr>
    </w:lvl>
    <w:lvl w:ilvl="1" w:tplc="71799906" w:tentative="1">
      <w:start w:val="1"/>
      <w:numFmt w:val="lowerLetter"/>
      <w:lvlText w:val="%2."/>
      <w:lvlJc w:val="left"/>
      <w:pPr>
        <w:ind w:left="1440" w:hanging="360"/>
      </w:pPr>
    </w:lvl>
    <w:lvl w:ilvl="2" w:tplc="71799906" w:tentative="1">
      <w:start w:val="1"/>
      <w:numFmt w:val="lowerRoman"/>
      <w:lvlText w:val="%3."/>
      <w:lvlJc w:val="right"/>
      <w:pPr>
        <w:ind w:left="2160" w:hanging="180"/>
      </w:pPr>
    </w:lvl>
    <w:lvl w:ilvl="3" w:tplc="71799906" w:tentative="1">
      <w:start w:val="1"/>
      <w:numFmt w:val="decimal"/>
      <w:lvlText w:val="%4."/>
      <w:lvlJc w:val="left"/>
      <w:pPr>
        <w:ind w:left="2880" w:hanging="360"/>
      </w:pPr>
    </w:lvl>
    <w:lvl w:ilvl="4" w:tplc="71799906" w:tentative="1">
      <w:start w:val="1"/>
      <w:numFmt w:val="lowerLetter"/>
      <w:lvlText w:val="%5."/>
      <w:lvlJc w:val="left"/>
      <w:pPr>
        <w:ind w:left="3600" w:hanging="360"/>
      </w:pPr>
    </w:lvl>
    <w:lvl w:ilvl="5" w:tplc="71799906" w:tentative="1">
      <w:start w:val="1"/>
      <w:numFmt w:val="lowerRoman"/>
      <w:lvlText w:val="%6."/>
      <w:lvlJc w:val="right"/>
      <w:pPr>
        <w:ind w:left="4320" w:hanging="180"/>
      </w:pPr>
    </w:lvl>
    <w:lvl w:ilvl="6" w:tplc="71799906" w:tentative="1">
      <w:start w:val="1"/>
      <w:numFmt w:val="decimal"/>
      <w:lvlText w:val="%7."/>
      <w:lvlJc w:val="left"/>
      <w:pPr>
        <w:ind w:left="5040" w:hanging="360"/>
      </w:pPr>
    </w:lvl>
    <w:lvl w:ilvl="7" w:tplc="71799906" w:tentative="1">
      <w:start w:val="1"/>
      <w:numFmt w:val="lowerLetter"/>
      <w:lvlText w:val="%8."/>
      <w:lvlJc w:val="left"/>
      <w:pPr>
        <w:ind w:left="5760" w:hanging="360"/>
      </w:pPr>
    </w:lvl>
    <w:lvl w:ilvl="8" w:tplc="71799906" w:tentative="1">
      <w:start w:val="1"/>
      <w:numFmt w:val="lowerRoman"/>
      <w:lvlText w:val="%9."/>
      <w:lvlJc w:val="right"/>
      <w:pPr>
        <w:ind w:left="6480" w:hanging="180"/>
      </w:pPr>
    </w:lvl>
  </w:abstractNum>
  <w:abstractNum w:abstractNumId="92967053">
    <w:multiLevelType w:val="hybridMultilevel"/>
    <w:lvl w:ilvl="0" w:tplc="382151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67053">
    <w:abstractNumId w:val="92967053"/>
  </w:num>
  <w:num w:numId="92967054">
    <w:abstractNumId w:val="92967054"/>
  </w:num>
  <w:num w:numId="990422717">
    <w:abstractNumId w:val="990422717"/>
  </w:num>
  <w:num w:numId="92967055">
    <w:abstractNumId w:val="92967055"/>
  </w:num>
  <w:num w:numId="92967056">
    <w:abstractNumId w:val="92967056"/>
  </w:num>
  <w:num w:numId="302722801">
    <w:abstractNumId w:val="302722801"/>
  </w:num>
  <w:num w:numId="96642971">
    <w:abstractNumId w:val="96642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73403546" Type="http://schemas.openxmlformats.org/officeDocument/2006/relationships/numbering" Target="numbering.xml"/><Relationship Id="rId13282045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