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4688557" w:name="document"/>
    <w:bookmarkEnd w:id="94688557"/>
    <w:p/>
    <w:p>
      <w:pPr>
        <w:widowControl w:val="on"/>
        <w:pBdr/>
        <w:spacing w:before="0" w:after="280" w:line="240" w:lineRule="auto"/>
        <w:ind w:left="0" w:right="0"/>
        <w:jc w:val="left"/>
      </w:pPr>
      <w:r>
        <w:rPr>
          <w:rFonts w:ascii="Arial" w:hAnsi="Arial" w:eastAsia="Arial" w:cs="Arial"/>
          <w:color w:val="363A40"/>
          <w:sz w:val="24"/>
          <w:szCs w:val="24"/>
        </w:rPr>
        <w:t xml:space="preserve">Dokument-ID: 973154 | FORUM Media (red)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Development Agreement</w:t>
      </w:r>
    </w:p>
    <w:p>
      <w:pPr>
        <w:widowControl w:val="on"/>
        <w:pBdr/>
        <w:spacing w:before="140" w:after="240" w:line="288" w:lineRule="auto"/>
        <w:ind w:left="0" w:right="0"/>
        <w:jc w:val="left"/>
      </w:pPr>
      <w:r>
        <w:rPr>
          <w:rFonts w:ascii="Arial" w:hAnsi="Arial" w:eastAsia="Arial" w:cs="Arial"/>
          <w:color w:val="000000"/>
          <w:sz w:val="20"/>
          <w:szCs w:val="20"/>
        </w:rPr>
        <w:t xml:space="preserve">entered into by and between</w:t>
      </w:r>
    </w:p>
    <w:p>
      <w:pPr>
        <w:widowControl w:val="on"/>
        <w:pBdr/>
        <w:spacing w:before="140" w:after="240" w:line="288" w:lineRule="auto"/>
        <w:ind w:left="0" w:right="0"/>
        <w:jc w:val="left"/>
      </w:pPr>
      <w:r>
        <w:rPr>
          <w:rFonts w:ascii="Arial" w:hAnsi="Arial" w:eastAsia="Arial" w:cs="Arial"/>
          <w:color w:val="000000"/>
          <w:sz w:val="20"/>
          <w:szCs w:val="20"/>
        </w:rPr>
        <w:t xml:space="preserve">Company A</w:t>
      </w:r>
      <w:r>
        <w:rPr>
          <w:rFonts w:ascii="Arial" w:hAnsi="Arial" w:eastAsia="Arial" w:cs="Arial"/>
          <w:color w:val="000000"/>
          <w:sz w:val="20"/>
          <w:szCs w:val="20"/>
        </w:rPr>
        <w:br/>
        <w:t xml:space="preserve">hereinafter referred to as „Customer“</w:t>
      </w:r>
    </w:p>
    <w:p>
      <w:pPr>
        <w:widowControl w:val="on"/>
        <w:pBdr/>
        <w:spacing w:before="140" w:after="240" w:line="288" w:lineRule="auto"/>
        <w:ind w:left="0" w:right="0"/>
        <w:jc w:val="left"/>
      </w:pPr>
      <w:r>
        <w:rPr>
          <w:rFonts w:ascii="Arial" w:hAnsi="Arial" w:eastAsia="Arial" w:cs="Arial"/>
          <w:color w:val="000000"/>
          <w:sz w:val="20"/>
          <w:szCs w:val="20"/>
        </w:rPr>
        <w:t xml:space="preserve">and</w:t>
      </w:r>
    </w:p>
    <w:p>
      <w:pPr>
        <w:widowControl w:val="on"/>
        <w:pBdr/>
        <w:spacing w:before="140" w:after="240" w:line="288" w:lineRule="auto"/>
        <w:ind w:left="0" w:right="0"/>
        <w:jc w:val="left"/>
      </w:pPr>
      <w:r>
        <w:rPr>
          <w:rFonts w:ascii="Arial" w:hAnsi="Arial" w:eastAsia="Arial" w:cs="Arial"/>
          <w:color w:val="000000"/>
          <w:sz w:val="20"/>
          <w:szCs w:val="20"/>
        </w:rPr>
        <w:t xml:space="preserve">Company B</w:t>
      </w:r>
      <w:r>
        <w:rPr>
          <w:rFonts w:ascii="Arial" w:hAnsi="Arial" w:eastAsia="Arial" w:cs="Arial"/>
          <w:color w:val="000000"/>
          <w:sz w:val="20"/>
          <w:szCs w:val="20"/>
        </w:rPr>
        <w:br/>
        <w:t xml:space="preserve">hereinafter referred to as „Contractor“</w:t>
      </w:r>
    </w:p>
    <w:p>
      <w:pPr>
        <w:widowControl w:val="on"/>
        <w:pBdr/>
        <w:spacing w:before="140" w:after="240" w:line="288" w:lineRule="auto"/>
        <w:ind w:left="0" w:right="0"/>
        <w:jc w:val="left"/>
      </w:pPr>
      <w:r>
        <w:rPr>
          <w:rFonts w:ascii="Arial" w:hAnsi="Arial" w:eastAsia="Arial" w:cs="Arial"/>
          <w:color w:val="000000"/>
          <w:sz w:val="20"/>
          <w:szCs w:val="20"/>
        </w:rPr>
        <w:t xml:space="preserve">as follows:</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The Contractor has provided the Customer with an offer to
technical development of … attached hereto as Annex 1. Such offer
constitutes basis for the supplies and services of the Contractor
as per Annex 2 including the time schedule and steps to be
completed within such time schedule. Annex 1 and Annex 2 constitute
key contents of the Contractor’s works owed under this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agrees to start upon conclusion of this
agreement and complete by … the development works referred to in
Article I above.</w:t>
      </w:r>
    </w:p>
    <w:p>
      <w:pPr>
        <w:widowControl w:val="on"/>
        <w:pBdr/>
        <w:spacing w:before="140" w:after="240" w:line="288" w:lineRule="auto"/>
        <w:ind w:left="0" w:right="0"/>
        <w:jc w:val="left"/>
      </w:pPr>
      <w:r>
        <w:rPr>
          <w:rFonts w:ascii="Arial" w:hAnsi="Arial" w:eastAsia="Arial" w:cs="Arial"/>
          <w:color w:val="000000"/>
          <w:sz w:val="20"/>
          <w:szCs w:val="20"/>
        </w:rPr>
        <w:t xml:space="preserve">(2) For the purposes of the Contractor executing these works,
the Customer shall make available to the Contractor the premises
referred to in Annex 3 hereto which shall include the equipment
belonging to such premises. The Customer ensures that the
Contractor, his employees or third parties retained by the
Contractor including suppliers and sub-contractors shall have
unrestricted access to such premises.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agrees to inform the Customer by the end of
each calendar quarter and initially on the … on the progress of its
works through a written report. This shall include a summary
presentation of the development works and the results achieved.
Upon demand of the Customer, the Contractor shall provide verbal
comments on the content of these reports.</w:t>
      </w:r>
    </w:p>
    <w:p>
      <w:pPr>
        <w:widowControl w:val="on"/>
        <w:pBdr/>
        <w:spacing w:before="140" w:after="240" w:line="288" w:lineRule="auto"/>
        <w:ind w:left="0" w:right="0"/>
        <w:jc w:val="left"/>
      </w:pPr>
      <w:r>
        <w:rPr>
          <w:rFonts w:ascii="Arial" w:hAnsi="Arial" w:eastAsia="Arial" w:cs="Arial"/>
          <w:color w:val="000000"/>
          <w:sz w:val="20"/>
          <w:szCs w:val="20"/>
        </w:rPr>
        <w:t xml:space="preserve">(2) The Contractor agrees to immediately inform the Customer in
writing and give reasons for any expected or actual deviations from
the time schedule set out in Annex 2 or the completion date as
agreed in Article 2 subsection 1 above. For the avoidance of doubt,
the parties agree that the Contractor shall have no right to demand
changes of the deadlines set out in Annex 2.</w:t>
      </w:r>
    </w:p>
    <w:p>
      <w:pPr>
        <w:widowControl w:val="on"/>
        <w:pBdr/>
        <w:spacing w:before="140" w:after="240" w:line="288" w:lineRule="auto"/>
        <w:ind w:left="0" w:right="0"/>
        <w:jc w:val="left"/>
      </w:pPr>
      <w:r>
        <w:rPr>
          <w:rFonts w:ascii="Arial" w:hAnsi="Arial" w:eastAsia="Arial" w:cs="Arial"/>
          <w:color w:val="000000"/>
          <w:sz w:val="20"/>
          <w:szCs w:val="20"/>
        </w:rPr>
        <w:t xml:space="preserve">(3) The Customer is entitled to inspect the progress of the
development works and to update himself on the status of such works
after giving advance notice and consultation with the Contractor.
Upon demand of the Customer, the parties may mutually agree that
such inspection rights set out in subsection 1 above may be
exercised by a qualified third party. The Contractor shall not
unreasonably withhold his consent hereto.</w:t>
      </w:r>
    </w:p>
    <w:p>
      <w:pPr>
        <w:widowControl w:val="on"/>
        <w:pBdr/>
        <w:spacing w:before="140" w:after="240" w:line="288" w:lineRule="auto"/>
        <w:ind w:left="0" w:right="0"/>
        <w:jc w:val="left"/>
      </w:pPr>
      <w:r>
        <w:rPr>
          <w:rFonts w:ascii="Arial" w:hAnsi="Arial" w:eastAsia="Arial" w:cs="Arial"/>
          <w:color w:val="000000"/>
          <w:sz w:val="20"/>
          <w:szCs w:val="20"/>
        </w:rPr>
        <w:t xml:space="preserve">(4) The Contractor represents that he will conduct his
development works in accordance with the Customer’s quality
assurance guidelines set out in Annex 4 hereto. The Customer shall
at all times be entitled to verify compliance with these quality
assurance guidelines in the development facilities of the
Contractor or have such audit performed through an independent
external quality assurance expert.</w:t>
      </w:r>
    </w:p>
    <w:p>
      <w:pPr>
        <w:widowControl w:val="on"/>
        <w:pBdr/>
        <w:spacing w:before="140" w:after="240" w:line="288" w:lineRule="auto"/>
        <w:ind w:left="0" w:right="0"/>
        <w:jc w:val="left"/>
      </w:pPr>
      <w:r>
        <w:rPr>
          <w:rFonts w:ascii="Arial" w:hAnsi="Arial" w:eastAsia="Arial" w:cs="Arial"/>
          <w:color w:val="000000"/>
          <w:sz w:val="20"/>
          <w:szCs w:val="20"/>
        </w:rPr>
        <w:t xml:space="preserve">(5) By no later than 10 days after conclusion of this agreement
the parties shall nominate towards their counterpart a person in
charge and its deputy. On the Contractor’s side, this shall be the
project leader.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(1) The parties agree that the mandate of the Contractor is
mainly based on his expertise and that the services owed under the
terms of this agreement shall generally be provided in person
only.</w:t>
      </w:r>
    </w:p>
    <w:p>
      <w:pPr>
        <w:widowControl w:val="on"/>
        <w:pBdr/>
        <w:spacing w:before="140" w:after="240" w:line="288" w:lineRule="auto"/>
        <w:ind w:left="0" w:right="0"/>
        <w:jc w:val="left"/>
      </w:pPr>
      <w:r>
        <w:rPr>
          <w:rFonts w:ascii="Arial" w:hAnsi="Arial" w:eastAsia="Arial" w:cs="Arial"/>
          <w:color w:val="000000"/>
          <w:sz w:val="20"/>
          <w:szCs w:val="20"/>
        </w:rPr>
        <w:t xml:space="preserve">(2) Any transfer (including a partial transfer) of obligations
under this agreement to any third party shall require prior written
consent of the Customer.</w:t>
      </w:r>
    </w:p>
    <w:p>
      <w:pPr>
        <w:widowControl w:val="on"/>
        <w:pBdr/>
        <w:spacing w:before="140" w:after="240" w:line="288" w:lineRule="auto"/>
        <w:ind w:left="0" w:right="0"/>
        <w:jc w:val="left"/>
      </w:pPr>
      <w:r>
        <w:rPr>
          <w:rFonts w:ascii="Arial" w:hAnsi="Arial" w:eastAsia="Arial" w:cs="Arial"/>
          <w:color w:val="000000"/>
          <w:sz w:val="20"/>
          <w:szCs w:val="20"/>
        </w:rPr>
        <w:t xml:space="preserve">(3) No party may transfer any rights under this agreement or
parts thereof to any third party without prior written consent of
the counterpart.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(1) The overall remuneration for the supplies and services (of
the Contractor) provided under this agreement under Article 1 shall
be EUR … plus VAT. This shall cover all works of the
Contractor (including any third party services permitted in
accordance with Article 4 subsection 2).</w:t>
      </w:r>
    </w:p>
    <w:p>
      <w:pPr>
        <w:widowControl w:val="on"/>
        <w:pBdr/>
        <w:spacing w:before="140" w:after="240" w:line="288" w:lineRule="auto"/>
        <w:ind w:left="0" w:right="0"/>
        <w:jc w:val="left"/>
      </w:pPr>
      <w:r>
        <w:rPr>
          <w:rFonts w:ascii="Arial" w:hAnsi="Arial" w:eastAsia="Arial" w:cs="Arial"/>
          <w:color w:val="000000"/>
          <w:sz w:val="20"/>
          <w:szCs w:val="20"/>
        </w:rPr>
        <w:t xml:space="preserve">(2) The overall remuneration shall be payable in instalments in
accordance with the achievement of the steps according to Annex 2.
The parties agree on the following due dates provided that the
Customer shall make the payments within 14 days after having being
invoiced by the Contractor.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conclusion of this agreement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1</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2</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completion of step 4</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acceptance in accordance with Article 6</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after expiry of the warranty term in accordance with Article
11</w:t>
            </w:r>
          </w:p>
        </w:tc>
      </w:tr>
    </w:tbl>
    <w:p>
      <w:pPr>
        <w:widowControl w:val="on"/>
        <w:pBdr/>
        <w:spacing w:before="140" w:after="240" w:line="288" w:lineRule="auto"/>
        <w:ind w:left="0" w:right="0"/>
        <w:jc w:val="left"/>
      </w:pPr>
      <w:r>
        <w:rPr>
          <w:rFonts w:ascii="Arial" w:hAnsi="Arial" w:eastAsia="Arial" w:cs="Arial"/>
          <w:color w:val="000000"/>
          <w:sz w:val="20"/>
          <w:szCs w:val="20"/>
        </w:rPr>
        <w:t xml:space="preserve">(3) The Contractor is entitled to demand payment of the final
instalment prior to expiry of the warranty term if he provides the
Costumer with a bank guarantee of even amount to cover warranty
claims. Any fees for such bank guarantee shall be at the expense of
the Contractor. By no later than ten days after expiry of the
warranty term the Costumer will hand over to the Contractor the
guarantee deed.</w:t>
      </w:r>
    </w:p>
    <w:p>
      <w:pPr>
        <w:widowControl w:val="on"/>
        <w:pBdr/>
        <w:spacing w:before="140" w:after="240" w:line="288" w:lineRule="auto"/>
        <w:ind w:left="0" w:right="0"/>
        <w:jc w:val="left"/>
      </w:pPr>
      <w:r>
        <w:rPr>
          <w:rFonts w:ascii="Arial" w:hAnsi="Arial" w:eastAsia="Arial" w:cs="Arial"/>
          <w:color w:val="000000"/>
          <w:sz w:val="20"/>
          <w:szCs w:val="20"/>
        </w:rPr>
        <w:t xml:space="preserve">(4) Notwithstanding any provisions of statutory law, the
Contractor may in the event of late payments demand payment of a
default interest of 5 % above the prime rate of the ECB
without being required to serve a warning notice. The Contractor
shall be free to claim compensation of a proven higher interest
amount.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(1) … days prior to the anticipated date of acceptance as set
out in Article II subsection 1, the Contractor shall notify the
Costumer in writing on the readiness of acceptance of the
development result.</w:t>
      </w:r>
    </w:p>
    <w:p>
      <w:pPr>
        <w:widowControl w:val="on"/>
        <w:pBdr/>
        <w:spacing w:before="140" w:after="240" w:line="288" w:lineRule="auto"/>
        <w:ind w:left="0" w:right="0"/>
        <w:jc w:val="left"/>
      </w:pPr>
      <w:r>
        <w:rPr>
          <w:rFonts w:ascii="Arial" w:hAnsi="Arial" w:eastAsia="Arial" w:cs="Arial"/>
          <w:color w:val="000000"/>
          <w:sz w:val="20"/>
          <w:szCs w:val="20"/>
        </w:rPr>
        <w:t xml:space="preserve">The parties shall thereupon conduct a formal acceptance
procedure. The specification and service list attached hereto as
Annex 5 shall form the basis of the acceptance. The acceptance
shall be recorded in minutes and be signed by both parties.</w:t>
      </w:r>
    </w:p>
    <w:p>
      <w:pPr>
        <w:widowControl w:val="on"/>
        <w:pBdr/>
        <w:spacing w:before="140" w:after="240" w:line="288" w:lineRule="auto"/>
        <w:ind w:left="0" w:right="0"/>
        <w:jc w:val="left"/>
      </w:pPr>
      <w:r>
        <w:rPr>
          <w:rFonts w:ascii="Arial" w:hAnsi="Arial" w:eastAsia="Arial" w:cs="Arial"/>
          <w:color w:val="000000"/>
          <w:sz w:val="20"/>
          <w:szCs w:val="20"/>
        </w:rPr>
        <w:t xml:space="preserve">(2) The Costumer may refuse acceptance in the event of material
deficiencies until the Contractor shall have remedied such
deficiencies with a reasonable grace period that the Costumer shall
specify for such purpose. In the event of non-material
deficiencies, the Costumer shall be under an obligation to accept.
All deficiencies shall be recorded in the minutes of acceptance.
The Contractor is obliged to remedy these deficiencies within a
reasonable period of time.</w:t>
      </w:r>
    </w:p>
    <w:p>
      <w:pPr>
        <w:widowControl w:val="on"/>
        <w:pBdr/>
        <w:spacing w:before="140" w:after="240" w:line="288" w:lineRule="auto"/>
        <w:ind w:left="0" w:right="0"/>
        <w:jc w:val="left"/>
      </w:pPr>
      <w:r>
        <w:rPr>
          <w:rFonts w:ascii="Arial" w:hAnsi="Arial" w:eastAsia="Arial" w:cs="Arial"/>
          <w:color w:val="000000"/>
          <w:sz w:val="20"/>
          <w:szCs w:val="20"/>
        </w:rPr>
        <w:t xml:space="preserve">(3) If, for reasons outside the control of the Contractor, the
acceptance date shall be delayed, then acceptance is deemed to have
taken place at the completion date as set out in Article II
subsection 1 above. Acceptance shall also be deemed to have taken
place if the Costumer takes possession of, or uses otherwise, the
contractual equipment.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(1) If the Contractor shall be late in meeting, the date of
acceptance agreed hereunder, then he shall pay a penalty to the
Costumer. This shall be … % of the overall net remuneration
for each complete week of default provided that the maximum amount
shall be no more than … % of the overall net remuneration.</w:t>
      </w:r>
    </w:p>
    <w:p>
      <w:pPr>
        <w:widowControl w:val="on"/>
        <w:pBdr/>
        <w:spacing w:before="140" w:after="240" w:line="288" w:lineRule="auto"/>
        <w:ind w:left="0" w:right="0"/>
        <w:jc w:val="left"/>
      </w:pPr>
      <w:r>
        <w:rPr>
          <w:rFonts w:ascii="Arial" w:hAnsi="Arial" w:eastAsia="Arial" w:cs="Arial"/>
          <w:color w:val="000000"/>
          <w:sz w:val="20"/>
          <w:szCs w:val="20"/>
        </w:rPr>
        <w:t xml:space="preserve">(2) This shall be without prejudice of the Costumer’s right to
claim further damage compensation; in such case, any penalty
payments shall be credited towards such claims.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(1) The parties mutually confirm that, at the time of the
conclusion of this agreement, the Contractor owns the intellectual
property rights as listed in Annex 6 hereto. Notwithstanding any
use for the purposes of this agreement, these property rights shall
remain with the Contractor.</w:t>
      </w:r>
    </w:p>
    <w:p>
      <w:pPr>
        <w:widowControl w:val="on"/>
        <w:pBdr/>
        <w:spacing w:before="140" w:after="240" w:line="288" w:lineRule="auto"/>
        <w:ind w:left="0" w:right="0"/>
        <w:jc w:val="left"/>
      </w:pPr>
      <w:r>
        <w:rPr>
          <w:rFonts w:ascii="Arial" w:hAnsi="Arial" w:eastAsia="Arial" w:cs="Arial"/>
          <w:color w:val="000000"/>
          <w:sz w:val="20"/>
          <w:szCs w:val="20"/>
        </w:rPr>
        <w:t xml:space="preserve">(2) The Contractor agrees to immediately inform the Costumer and
offer for acquisition any inventions that employees of the
Contractor shall make during the term and in the course of
discharging the contractual obligations of this agreement. The
Costumer shall within four weeks after receipt of such offer inform
the Contractor in writing whether he assumes the rights attached to
such invention. The Costumer agrees to keep confidential the
invention and all details having been made available to him so long
as necessary ensure a smooth filing as intellectual property.</w:t>
      </w:r>
    </w:p>
    <w:p>
      <w:pPr>
        <w:widowControl w:val="on"/>
        <w:pBdr/>
        <w:spacing w:before="140" w:after="240" w:line="288" w:lineRule="auto"/>
        <w:ind w:left="0" w:right="0"/>
        <w:jc w:val="left"/>
      </w:pPr>
      <w:r>
        <w:rPr>
          <w:rFonts w:ascii="Arial" w:hAnsi="Arial" w:eastAsia="Arial" w:cs="Arial"/>
          <w:color w:val="000000"/>
          <w:sz w:val="20"/>
          <w:szCs w:val="20"/>
        </w:rPr>
        <w:t xml:space="preserve">(3) If the Costumer states in writing that he has no interest in
taking over the rights attached to the invention, then the
Contractor shall have the right to use it (or parts thereof) and to
file as intellectual property at his own expense. Such intellectual
property shall then be at the unrestricted disposal of the
Contractor.</w:t>
      </w:r>
    </w:p>
    <w:p>
      <w:pPr>
        <w:widowControl w:val="on"/>
        <w:pBdr/>
        <w:spacing w:before="140" w:after="240" w:line="288" w:lineRule="auto"/>
        <w:ind w:left="0" w:right="0"/>
        <w:jc w:val="left"/>
      </w:pPr>
      <w:r>
        <w:rPr>
          <w:rFonts w:ascii="Arial" w:hAnsi="Arial" w:eastAsia="Arial" w:cs="Arial"/>
          <w:color w:val="000000"/>
          <w:sz w:val="20"/>
          <w:szCs w:val="20"/>
        </w:rPr>
        <w:t xml:space="preserve">(4) If the Contractor intends to discontinue the use or
maintenance of an intellectual property that he has filed in
accordance with subsection 3 above, then he shall notify the
Costumer of such intention in writing and shall offer him the
proprietary rights for take over free of charge. If the Costumer
accepts such offer in writing by no later than four weeks after
having received the offer, then he shall assume all costs of
transfer, continuation and maintenance of the property right; if
not, then the Contractor may without further notice proceed with
the proposed discontinuation. In the event of an agreed transfer of
such property right, the parties will do all acts and file all
declarations necessary to implement such transfer.</w:t>
      </w:r>
    </w:p>
    <w:p>
      <w:pPr>
        <w:widowControl w:val="on"/>
        <w:pBdr/>
        <w:spacing w:before="140" w:after="240" w:line="288" w:lineRule="auto"/>
        <w:ind w:left="0" w:right="0"/>
        <w:jc w:val="left"/>
      </w:pPr>
      <w:r>
        <w:rPr>
          <w:rFonts w:ascii="Arial" w:hAnsi="Arial" w:eastAsia="Arial" w:cs="Arial"/>
          <w:color w:val="000000"/>
          <w:sz w:val="20"/>
          <w:szCs w:val="20"/>
        </w:rPr>
        <w:t xml:space="preserve">(5) The Contractor grants to the Costumer a non-exclusive and
non-transferable right to use the proprietary rights referred to in
Article 8 sub-section 1 above to the extent the underlying
inventions have been of (at least of a partial) causal effect to
the development results. The parties hereto will well ahead of the
use of such property agree use of such rights through conclusion of
a license agreement at terms that shall be appropriate and reflect
common business practice. Failing such agreement, a third party
expert appointed by the parties shall determine what shall be
appropriate and reflect common business practice. If the parties
should be unable to agree within four weeks on a common expert,
then the president of the Chamber of Commerce of … shall appoint
such expert upon demand of one on the parties hereto.</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represents and warrants that the project
works will be conducted in accordance with the state of the art
science and technical expertise. The Contractor further agrees to
perform the development works and to procure completion of the
developed equipment such that it is in accordance with the agreed
specification and free of defects that would jeopardise or
deteriorate the value or the ability of being used generally or as
assumed under this agreement. The warranty term shall be … months
starting at the date of formal acceptance.</w:t>
      </w:r>
    </w:p>
    <w:p>
      <w:pPr>
        <w:widowControl w:val="on"/>
        <w:pBdr/>
        <w:spacing w:before="140" w:after="240" w:line="288" w:lineRule="auto"/>
        <w:ind w:left="0" w:right="0"/>
        <w:jc w:val="left"/>
      </w:pPr>
      <w:r>
        <w:rPr>
          <w:rFonts w:ascii="Arial" w:hAnsi="Arial" w:eastAsia="Arial" w:cs="Arial"/>
          <w:color w:val="000000"/>
          <w:sz w:val="20"/>
          <w:szCs w:val="20"/>
        </w:rPr>
        <w:t xml:space="preserve">(2) In the event of defective deliveries/services the Contractor
shall, within a reasonable period of time either cure the same or
replace defective deliveries through new parts. The Customer may
exercise such right to demand remedial works or replacement
delivery twice for each warranty case. Upon unsuccessfully expiry
of the second grace period, the Customer may rescind this agreement
or demand a reduction of the remuneration. Warranty claims shall
not exist if the developed equipment shall have been altered or
repaired without prior written consent of the Contractor.</w:t>
      </w:r>
    </w:p>
    <w:p>
      <w:pPr>
        <w:widowControl w:val="on"/>
        <w:pBdr/>
        <w:spacing w:before="140" w:after="240" w:line="288" w:lineRule="auto"/>
        <w:ind w:left="0" w:right="0"/>
        <w:jc w:val="left"/>
      </w:pPr>
      <w:r>
        <w:rPr>
          <w:rFonts w:ascii="Arial" w:hAnsi="Arial" w:eastAsia="Arial" w:cs="Arial"/>
          <w:color w:val="000000"/>
          <w:sz w:val="20"/>
          <w:szCs w:val="20"/>
        </w:rPr>
        <w:t xml:space="preserve">(3) The Contractor does not assume any liability for further
damages or consequential damages or damages outside the developed
equipment unless such damages shall have been caused by gross
negligence or wilful misconduct. The warranty shall not cover those
parts that are subject to normal or operationally caused wear and
tear.</w:t>
      </w:r>
    </w:p>
    <w:p>
      <w:pPr>
        <w:widowControl w:val="on"/>
        <w:pBdr/>
        <w:spacing w:before="140" w:after="240" w:line="288" w:lineRule="auto"/>
        <w:ind w:left="0" w:right="0"/>
        <w:jc w:val="left"/>
      </w:pPr>
      <w:r>
        <w:rPr>
          <w:rFonts w:ascii="Arial" w:hAnsi="Arial" w:eastAsia="Arial" w:cs="Arial"/>
          <w:color w:val="000000"/>
          <w:sz w:val="20"/>
          <w:szCs w:val="20"/>
        </w:rPr>
        <w:t xml:space="preserve">(4) The Contractor does not assume any warranty that the
development results achieved will not infringe any third party
intellectual property rights. However, he will use his best efforts
to avoid such infringement. As part of such efforts, the Contractor
will with reasonable care at its own expense conduct a research on
possibly conflicting intellectual property. He will inform the
Customer of the results of such research.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shall only be liable for wilful misconduct
and gross negligence. Any liability for indirect and/or
consequential damages including loss of profit or loss of
production shall be expressly excluded.</w:t>
      </w:r>
    </w:p>
    <w:p>
      <w:pPr>
        <w:widowControl w:val="on"/>
        <w:pBdr/>
        <w:spacing w:before="140" w:after="240" w:line="288" w:lineRule="auto"/>
        <w:ind w:left="0" w:right="0"/>
        <w:jc w:val="left"/>
      </w:pPr>
      <w:r>
        <w:rPr>
          <w:rFonts w:ascii="Arial" w:hAnsi="Arial" w:eastAsia="Arial" w:cs="Arial"/>
          <w:color w:val="000000"/>
          <w:sz w:val="20"/>
          <w:szCs w:val="20"/>
        </w:rPr>
        <w:t xml:space="preserve">(2) To the extent that any third party shall (on whatever basis)
raise any claims against the Contractor, his employees or agents,
the Customer shall, upon first written demand, indemnify the
Contractor against such damage compensation claims. This shall not
apply in the event of gross negligence or wilful misconduct on the
side of the Contractor, its employees or agents.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(1) The Contractor agrees to make available to the Costumer the
development results obtained throughout the performance of the
development works and shall not make public or available to any
third party reports or correspondence sent to the Costumer unless
the same shall have been approved in writing by the Customer. The
Contractor further agrees not to use for own works or exploit the
same or make known to any third party any business secrets
disclosed to him by the Customer including any know-how that he
shall have provided with for the purposes of the development
works.</w:t>
      </w:r>
    </w:p>
    <w:p>
      <w:pPr>
        <w:widowControl w:val="on"/>
        <w:pBdr/>
        <w:spacing w:before="140" w:after="240" w:line="288" w:lineRule="auto"/>
        <w:ind w:left="0" w:right="0"/>
        <w:jc w:val="left"/>
      </w:pPr>
      <w:r>
        <w:rPr>
          <w:rFonts w:ascii="Arial" w:hAnsi="Arial" w:eastAsia="Arial" w:cs="Arial"/>
          <w:color w:val="000000"/>
          <w:sz w:val="20"/>
          <w:szCs w:val="20"/>
        </w:rPr>
        <w:t xml:space="preserve">(2) The parties agree that inventions made and intellectual
property filings shall until the date of their disclosure be kept
strictly confidential.</w:t>
      </w:r>
    </w:p>
    <w:p>
      <w:pPr>
        <w:widowControl w:val="on"/>
        <w:pBdr/>
        <w:spacing w:before="140" w:after="240" w:line="288" w:lineRule="auto"/>
        <w:ind w:left="0" w:right="0"/>
        <w:jc w:val="left"/>
      </w:pPr>
      <w:r>
        <w:rPr>
          <w:rFonts w:ascii="Arial" w:hAnsi="Arial" w:eastAsia="Arial" w:cs="Arial"/>
          <w:color w:val="000000"/>
          <w:sz w:val="20"/>
          <w:szCs w:val="20"/>
        </w:rPr>
        <w:t xml:space="preserve">(3) The Contractor agrees to impose that confidentiality
undertaking assumed under the foregoing provisions to
subcontractors, free lancers and employees retained by him.</w:t>
      </w:r>
    </w:p>
    <w:p>
      <w:pPr>
        <w:widowControl w:val="on"/>
        <w:pBdr/>
        <w:spacing w:before="140" w:after="240" w:line="288" w:lineRule="auto"/>
        <w:ind w:left="0" w:right="0"/>
        <w:jc w:val="left"/>
      </w:pPr>
      <w:r>
        <w:rPr>
          <w:rFonts w:ascii="Arial" w:hAnsi="Arial" w:eastAsia="Arial" w:cs="Arial"/>
          <w:color w:val="000000"/>
          <w:sz w:val="20"/>
          <w:szCs w:val="20"/>
        </w:rPr>
        <w:t xml:space="preserve">(4) The confidentiality undertaking according to these
provisions shall survive the expiry of this agreement and remain in
force for three years after expiry of this agreement.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w:t>
      </w:r>
    </w:p>
    <w:p>
      <w:pPr>
        <w:widowControl w:val="on"/>
        <w:pBdr/>
        <w:spacing w:before="140" w:after="240" w:line="288" w:lineRule="auto"/>
        <w:ind w:left="0" w:right="0"/>
        <w:jc w:val="left"/>
      </w:pPr>
      <w:r>
        <w:rPr>
          <w:rFonts w:ascii="Arial" w:hAnsi="Arial" w:eastAsia="Arial" w:cs="Arial"/>
          <w:color w:val="000000"/>
          <w:sz w:val="20"/>
          <w:szCs w:val="20"/>
        </w:rPr>
        <w:t xml:space="preserve">(1) The Customer may terminate this agreement with a notice
period of one month effective as at the end of any calendar
quarter, but in no event earlier than by …</w:t>
      </w:r>
    </w:p>
    <w:p>
      <w:pPr>
        <w:widowControl w:val="on"/>
        <w:pBdr/>
        <w:spacing w:before="140" w:after="240" w:line="288" w:lineRule="auto"/>
        <w:ind w:left="0" w:right="0"/>
        <w:jc w:val="left"/>
      </w:pPr>
      <w:r>
        <w:rPr>
          <w:rFonts w:ascii="Arial" w:hAnsi="Arial" w:eastAsia="Arial" w:cs="Arial"/>
          <w:color w:val="000000"/>
          <w:sz w:val="20"/>
          <w:szCs w:val="20"/>
        </w:rPr>
        <w:t xml:space="preserve">(2) The Customer agrees to assume all costs accrued on the
Contractor’s side (including unavoidable costs) until the time at
which the termination takes effect. All payments including the
settlement payment hereunder may not exceed the overall
remuneration owed under Article 5 if the agreement had not been
terminated.</w:t>
      </w:r>
    </w:p>
    <w:p>
      <w:pPr>
        <w:widowControl w:val="on"/>
        <w:pBdr/>
        <w:spacing w:before="140" w:after="240" w:line="288" w:lineRule="auto"/>
        <w:ind w:left="0" w:right="0"/>
        <w:jc w:val="left"/>
      </w:pPr>
      <w:r>
        <w:rPr>
          <w:rFonts w:ascii="Arial" w:hAnsi="Arial" w:eastAsia="Arial" w:cs="Arial"/>
          <w:color w:val="000000"/>
          <w:sz w:val="20"/>
          <w:szCs w:val="20"/>
        </w:rPr>
        <w:t xml:space="preserve">(3) Without prejudice to the foregoing provision, any party may
terminate this agreement for good cause. A good cause on the
Customers shall be the failure of the Customer to make his payments
or to make the payments timely despite a warning notice and
specifying a cure period.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w:t>
      </w:r>
    </w:p>
    <w:p>
      <w:pPr>
        <w:widowControl w:val="on"/>
        <w:pBdr/>
        <w:spacing w:before="140" w:after="240" w:line="288" w:lineRule="auto"/>
        <w:ind w:left="0" w:right="0"/>
        <w:jc w:val="left"/>
      </w:pPr>
      <w:r>
        <w:rPr>
          <w:rFonts w:ascii="Arial" w:hAnsi="Arial" w:eastAsia="Arial" w:cs="Arial"/>
          <w:color w:val="000000"/>
          <w:sz w:val="20"/>
          <w:szCs w:val="20"/>
        </w:rPr>
        <w:t xml:space="preserve">(1) No verbal side agreements have been made. Amendments or
supplements to this Agreement including this provision shall be in
writing.</w:t>
      </w:r>
    </w:p>
    <w:p>
      <w:pPr>
        <w:widowControl w:val="on"/>
        <w:pBdr/>
        <w:spacing w:before="140" w:after="240" w:line="288" w:lineRule="auto"/>
        <w:ind w:left="0" w:right="0"/>
        <w:jc w:val="left"/>
      </w:pPr>
      <w:r>
        <w:rPr>
          <w:rFonts w:ascii="Arial" w:hAnsi="Arial" w:eastAsia="Arial" w:cs="Arial"/>
          <w:color w:val="000000"/>
          <w:sz w:val="20"/>
          <w:szCs w:val="20"/>
        </w:rPr>
        <w:t xml:space="preserve">(2) If any provision of this Agreement shall be entirely or
partly invalid or unenforceable, this shall not affect the validity
and enforcement ability of all other provisions of this Agreement.
The invalid or unenforceable provision shall be regarded as
replaced by such valid and enforceable provision that as closely as
possible reflects the economic purpose that the parties hereto had
pursued with the invalid or unenforceable provision.</w:t>
      </w:r>
    </w:p>
    <w:p>
      <w:pPr>
        <w:widowControl w:val="on"/>
        <w:pBdr/>
        <w:spacing w:before="140" w:after="240" w:line="288" w:lineRule="auto"/>
        <w:ind w:left="0" w:right="0"/>
        <w:jc w:val="left"/>
      </w:pPr>
      <w:r>
        <w:rPr>
          <w:rFonts w:ascii="Arial" w:hAnsi="Arial" w:eastAsia="Arial" w:cs="Arial"/>
          <w:color w:val="000000"/>
          <w:sz w:val="20"/>
          <w:szCs w:val="20"/>
        </w:rPr>
        <w:t xml:space="preserve">(3) This Agreement shall be governed and construed in accordance
with the laws of the Republic of Austria. The courts of … shall
have non-exclusive jurisdiction for all disputes between the
parties arising from this Agreement.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06931">
    <w:multiLevelType w:val="hybridMultilevel"/>
    <w:lvl w:ilvl="0" w:tplc="10068279">
      <w:start w:val="1"/>
      <w:numFmt w:val="decimal"/>
      <w:lvlText w:val="%1."/>
      <w:lvlJc w:val="left"/>
      <w:pPr>
        <w:ind w:left="720" w:hanging="360"/>
      </w:pPr>
    </w:lvl>
    <w:lvl w:ilvl="1" w:tplc="10068279" w:tentative="1">
      <w:start w:val="1"/>
      <w:numFmt w:val="lowerLetter"/>
      <w:lvlText w:val="%2."/>
      <w:lvlJc w:val="left"/>
      <w:pPr>
        <w:ind w:left="1440" w:hanging="360"/>
      </w:pPr>
    </w:lvl>
    <w:lvl w:ilvl="2" w:tplc="10068279" w:tentative="1">
      <w:start w:val="1"/>
      <w:numFmt w:val="lowerRoman"/>
      <w:lvlText w:val="%3."/>
      <w:lvlJc w:val="right"/>
      <w:pPr>
        <w:ind w:left="2160" w:hanging="180"/>
      </w:pPr>
    </w:lvl>
    <w:lvl w:ilvl="3" w:tplc="10068279" w:tentative="1">
      <w:start w:val="1"/>
      <w:numFmt w:val="decimal"/>
      <w:lvlText w:val="%4."/>
      <w:lvlJc w:val="left"/>
      <w:pPr>
        <w:ind w:left="2880" w:hanging="360"/>
      </w:pPr>
    </w:lvl>
    <w:lvl w:ilvl="4" w:tplc="10068279" w:tentative="1">
      <w:start w:val="1"/>
      <w:numFmt w:val="lowerLetter"/>
      <w:lvlText w:val="%5."/>
      <w:lvlJc w:val="left"/>
      <w:pPr>
        <w:ind w:left="3600" w:hanging="360"/>
      </w:pPr>
    </w:lvl>
    <w:lvl w:ilvl="5" w:tplc="10068279" w:tentative="1">
      <w:start w:val="1"/>
      <w:numFmt w:val="lowerRoman"/>
      <w:lvlText w:val="%6."/>
      <w:lvlJc w:val="right"/>
      <w:pPr>
        <w:ind w:left="4320" w:hanging="180"/>
      </w:pPr>
    </w:lvl>
    <w:lvl w:ilvl="6" w:tplc="10068279" w:tentative="1">
      <w:start w:val="1"/>
      <w:numFmt w:val="decimal"/>
      <w:lvlText w:val="%7."/>
      <w:lvlJc w:val="left"/>
      <w:pPr>
        <w:ind w:left="5040" w:hanging="360"/>
      </w:pPr>
    </w:lvl>
    <w:lvl w:ilvl="7" w:tplc="10068279" w:tentative="1">
      <w:start w:val="1"/>
      <w:numFmt w:val="lowerLetter"/>
      <w:lvlText w:val="%8."/>
      <w:lvlJc w:val="left"/>
      <w:pPr>
        <w:ind w:left="5760" w:hanging="360"/>
      </w:pPr>
    </w:lvl>
    <w:lvl w:ilvl="8" w:tplc="10068279" w:tentative="1">
      <w:start w:val="1"/>
      <w:numFmt w:val="lowerRoman"/>
      <w:lvlText w:val="%9."/>
      <w:lvlJc w:val="right"/>
      <w:pPr>
        <w:ind w:left="6480" w:hanging="180"/>
      </w:pPr>
    </w:lvl>
  </w:abstractNum>
  <w:abstractNum w:abstractNumId="27806930">
    <w:multiLevelType w:val="hybridMultilevel"/>
    <w:lvl w:ilvl="0" w:tplc="35075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06930">
    <w:abstractNumId w:val="27806930"/>
  </w:num>
  <w:num w:numId="27806931">
    <w:abstractNumId w:val="27806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58065469" Type="http://schemas.openxmlformats.org/officeDocument/2006/relationships/numbering" Target="numbering.xml"/><Relationship Id="rId37231235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