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48669391" w:name="document"/>
    <w:bookmarkEnd w:id="48669391"/>
    <w:p/>
    <w:p>
      <w:pPr>
        <w:widowControl w:val="on"/>
        <w:pBdr/>
        <w:spacing w:before="0" w:after="280" w:line="240" w:lineRule="auto"/>
        <w:ind w:left="0" w:right="0"/>
        <w:jc w:val="left"/>
      </w:pPr>
      <w:r>
        <w:rPr>
          <w:rFonts w:ascii="Arial" w:hAnsi="Arial" w:eastAsia="Arial" w:cs="Arial"/>
          <w:color w:val="363A40"/>
          <w:sz w:val="24"/>
          <w:szCs w:val="24"/>
        </w:rPr>
        <w:t xml:space="preserve">Dokument-ID: 589054 | Markus Bulgarini - Karin
Zahiragic - WEKA (red) | Muster | Vertragsmuster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Kompromiss-Mietvertrag für eine Wohnung (Hauptkriterium:
Neuerrichtung der Wohnung nach dem 08.05.1945)</w:t>
      </w:r>
    </w:p>
    <w:p>
      <w:pPr>
        <w:widowControl w:val="on"/>
        <w:pBdr/>
        <w:spacing w:before="140" w:after="240" w:line="288" w:lineRule="auto"/>
        <w:ind w:left="0" w:right="0"/>
        <w:jc w:val="left"/>
      </w:pPr>
      <w:r>
        <w:rPr>
          <w:rFonts w:ascii="Arial" w:hAnsi="Arial" w:eastAsia="Arial" w:cs="Arial"/>
          <w:color w:val="000000"/>
          <w:sz w:val="20"/>
          <w:szCs w:val="20"/>
        </w:rPr>
        <w:t xml:space="preserve">Hinweis:</w:t>
      </w:r>
    </w:p>
    <w:p>
      <w:pPr>
        <w:widowControl w:val="on"/>
        <w:pBdr/>
        <w:spacing w:before="140" w:after="240" w:line="288" w:lineRule="auto"/>
        <w:ind w:left="0" w:right="0"/>
        <w:jc w:val="left"/>
      </w:pPr>
      <w:r>
        <w:rPr>
          <w:rFonts w:ascii="Arial" w:hAnsi="Arial" w:eastAsia="Arial" w:cs="Arial"/>
          <w:color w:val="000000"/>
          <w:sz w:val="20"/>
          <w:szCs w:val="20"/>
        </w:rPr>
        <w:t xml:space="preserve">Nichtanwendbarkeit des MRG und Teilanwendung des MRG,
Berücksichtigung des 5. MILG</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Mietvertrag</w:t>
      </w:r>
    </w:p>
    <w:p>
      <w:pPr>
        <w:widowControl w:val="on"/>
        <w:pBdr/>
        <w:spacing w:before="140" w:after="240" w:line="288" w:lineRule="auto"/>
        <w:ind w:left="0" w:right="0"/>
        <w:jc w:val="left"/>
      </w:pPr>
      <w:r>
        <w:rPr>
          <w:rFonts w:ascii="Arial" w:hAnsi="Arial" w:eastAsia="Arial" w:cs="Arial"/>
          <w:color w:val="000000"/>
          <w:sz w:val="20"/>
          <w:szCs w:val="20"/>
        </w:rPr>
        <w:t xml:space="preserve">abgeschlossen am untenstehenden Tag zwischen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t>
            </w:r>
            <w:r>
              <w:rPr>
                <w:rFonts w:ascii="Arial" w:hAnsi="Arial" w:eastAsia="Arial" w:cs="Arial"/>
                <w:color w:val="000000"/>
                <w:position w:val="0"/>
                <w:sz w:val="20"/>
                <w:szCs w:val="20"/>
                <w:shd w:val="clear" w:color="auto" w:fill="FFFFFF"/>
              </w:rPr>
              <w:br/>
              <w:t xml:space="preserve">[Vor- und Zuname, akad Titel, geboren am, Beruf,</w:t>
            </w:r>
            <w:r>
              <w:rPr>
                <w:rFonts w:ascii="Arial" w:hAnsi="Arial" w:eastAsia="Arial" w:cs="Arial"/>
                <w:color w:val="000000"/>
                <w:position w:val="0"/>
                <w:sz w:val="20"/>
                <w:szCs w:val="20"/>
                <w:shd w:val="clear" w:color="auto" w:fill="FFFFFF"/>
              </w:rPr>
              <w:br/>
              <w:t xml:space="preserve">Adresse (bisheriger gewöhnlicher Aufenthalt)</w:t>
            </w:r>
            <w:r>
              <w:rPr>
                <w:rFonts w:ascii="Arial" w:hAnsi="Arial" w:eastAsia="Arial" w:cs="Arial"/>
                <w:color w:val="000000"/>
                <w:position w:val="0"/>
                <w:sz w:val="20"/>
                <w:szCs w:val="20"/>
                <w:shd w:val="clear" w:color="auto" w:fill="FFFFFF"/>
              </w:rPr>
              <w:br/>
              <w:t xml:space="preserve">im Folgenden kurz </w:t>
            </w:r>
            <w:r>
              <w:rPr>
                <w:rFonts w:ascii="Arial" w:hAnsi="Arial" w:eastAsia="Arial" w:cs="Arial"/>
                <w:color w:val="000000"/>
                <w:position w:val="0"/>
                <w:sz w:val="20"/>
                <w:szCs w:val="20"/>
                <w:shd w:val="clear" w:color="auto" w:fill="FFFFFF"/>
              </w:rPr>
              <w:t xml:space="preserve">„Mieter“</w:t>
            </w:r>
            <w:r>
              <w:rPr>
                <w:rFonts w:ascii="Arial" w:hAnsi="Arial" w:eastAsia="Arial" w:cs="Arial"/>
                <w:color w:val="000000"/>
                <w:position w:val="0"/>
                <w:sz w:val="20"/>
                <w:szCs w:val="20"/>
                <w:shd w:val="clear" w:color="auto" w:fill="FFFFFF"/>
              </w:rPr>
              <w:t xml:space="preserve"> genannt,
einerseits]</w:t>
            </w:r>
          </w:p>
        </w:tc>
      </w:tr>
    </w:tbl>
    <w:p>
      <w:pPr>
        <w:widowControl w:val="on"/>
        <w:pBdr/>
        <w:spacing w:before="140" w:after="240" w:line="288" w:lineRule="auto"/>
        <w:ind w:left="0" w:right="0"/>
        <w:jc w:val="left"/>
      </w:pPr>
      <w:r>
        <w:rPr>
          <w:rFonts w:ascii="Arial" w:hAnsi="Arial" w:eastAsia="Arial" w:cs="Arial"/>
          <w:color w:val="000000"/>
          <w:sz w:val="20"/>
          <w:szCs w:val="20"/>
        </w:rPr>
        <w:t xml:space="preserve">und</w:t>
      </w:r>
    </w:p>
    <w:p>
      <w:pPr>
        <w:widowControl w:val="on"/>
        <w:pBdr/>
        <w:spacing w:before="140" w:after="240" w:line="288" w:lineRule="auto"/>
        <w:ind w:left="0" w:right="0"/>
        <w:jc w:val="left"/>
      </w:pPr>
      <w:r>
        <w:rPr>
          <w:rFonts w:ascii="Arial" w:hAnsi="Arial" w:eastAsia="Arial" w:cs="Arial"/>
          <w:color w:val="000000"/>
          <w:sz w:val="20"/>
          <w:szCs w:val="20"/>
        </w:rPr>
        <w:t xml:space="preserve">Hinweis:</w:t>
      </w:r>
    </w:p>
    <w:p>
      <w:pPr>
        <w:widowControl w:val="on"/>
        <w:pBdr/>
        <w:spacing w:before="140" w:after="240" w:line="288" w:lineRule="auto"/>
        <w:ind w:left="0" w:right="0"/>
        <w:jc w:val="left"/>
      </w:pPr>
      <w:r>
        <w:rPr>
          <w:rFonts w:ascii="Arial" w:hAnsi="Arial" w:eastAsia="Arial" w:cs="Arial"/>
          <w:color w:val="000000"/>
          <w:sz w:val="20"/>
          <w:szCs w:val="20"/>
        </w:rPr>
        <w:t xml:space="preserve">Das Geburtsdatum des Mieters kann bei einer späteren
Forderungsexekution auf Dienstbezüge sehr dienlich sein, auch für
Meldeanfragen bezüglich verschwundener Mieter wird das Geburtsdatum
benötigt. Der bisherige gewöhnliche Aufenthalt kann auch zu
Nachforschungszwecken dienlich sein.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t>
            </w:r>
            <w:r>
              <w:rPr>
                <w:rFonts w:ascii="Arial" w:hAnsi="Arial" w:eastAsia="Arial" w:cs="Arial"/>
                <w:color w:val="000000"/>
                <w:position w:val="0"/>
                <w:sz w:val="20"/>
                <w:szCs w:val="20"/>
                <w:shd w:val="clear" w:color="auto" w:fill="FFFFFF"/>
              </w:rPr>
              <w:br/>
              <w:t xml:space="preserve">[Vor- und Zuname, akad Titel, geboren am, Beruf, Adresse</w:t>
            </w:r>
            <w:r>
              <w:rPr>
                <w:rFonts w:ascii="Arial" w:hAnsi="Arial" w:eastAsia="Arial" w:cs="Arial"/>
                <w:color w:val="000000"/>
                <w:position w:val="0"/>
                <w:sz w:val="20"/>
                <w:szCs w:val="20"/>
                <w:shd w:val="clear" w:color="auto" w:fill="FFFFFF"/>
              </w:rPr>
              <w:br/>
              <w:t xml:space="preserve">im Folgenden kurz </w:t>
            </w:r>
            <w:r>
              <w:rPr>
                <w:rFonts w:ascii="Arial" w:hAnsi="Arial" w:eastAsia="Arial" w:cs="Arial"/>
                <w:color w:val="000000"/>
                <w:position w:val="0"/>
                <w:sz w:val="20"/>
                <w:szCs w:val="20"/>
                <w:shd w:val="clear" w:color="auto" w:fill="FFFFFF"/>
              </w:rPr>
              <w:t xml:space="preserve">„Vermieter“</w:t>
            </w:r>
            <w:r>
              <w:rPr>
                <w:rFonts w:ascii="Arial" w:hAnsi="Arial" w:eastAsia="Arial" w:cs="Arial"/>
                <w:color w:val="000000"/>
                <w:position w:val="0"/>
                <w:sz w:val="20"/>
                <w:szCs w:val="20"/>
                <w:shd w:val="clear" w:color="auto" w:fill="FFFFFF"/>
              </w:rPr>
              <w:t xml:space="preserve"> genannt,
andererseits]</w:t>
            </w:r>
          </w:p>
        </w:tc>
      </w:tr>
    </w:tbl>
    <w:p>
      <w:pPr>
        <w:widowControl w:val="on"/>
        <w:pBdr/>
        <w:spacing w:before="140" w:after="240" w:line="288" w:lineRule="auto"/>
        <w:ind w:left="0" w:right="0"/>
        <w:jc w:val="left"/>
      </w:pPr>
      <w:r>
        <w:rPr>
          <w:rFonts w:ascii="Arial" w:hAnsi="Arial" w:eastAsia="Arial" w:cs="Arial"/>
          <w:color w:val="000000"/>
          <w:sz w:val="20"/>
          <w:szCs w:val="20"/>
        </w:rPr>
        <w:t xml:space="preserve">wie folgt: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1. Mietgegenstand</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Mietgegenstand ist die Wohnung Tür/Top/Stiege im Hause … [genaue
Anschrift]. Dieses Gebäude wurde aufgrund einer nach dem 8. Mai
1945 erteilten Baubewilligung durch Um-, Auf-, Ein- oder Zubau neu
geschaffen (§ 1 Abs 4 Z 3 MRG). Der Vermieter ist
Eigentümer der Wohnung Tür/Top/Stiege im Hause … [genaue
Anschrift].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Nutzfläche dieser Wohnung beträgt … [Angabe der
Quadratmeterzahl] m², bestehend aus … [genaue Definition des
Mietgegenstandes]. Vermietet ist ausschließlich der Innenraum des
Mietgegenstands, bestehend aus … [Beschreibung der
Räumlichkeiten].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ist berechtigt, folgende Gemeinschaftsanlagen
mitzubenutzen: …. [Lift, Waschküche, usw].</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mietet nun diese Wohnungen zu den Bedingungen dieses
Mietvertrages.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 1 Abs 4 Z 3 MRG handelt es sich beim
vorliegenden Vertragsmuster um einen Mietgegenstand, der im
Wohnungseigentum steht, sofern der Mietgegenstand in einem Gebäude
gelegen ist, das aufgrund einer nach dem 8. Mai 1945 erteilten
Baubewilligung neu errichtet worden ist.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Dieses Vertragsmuster ist auch anzuwenden, wenn das ganze Haus
(aufgrund einer Baubewilligung nach dem 09.05.1945) neu errichtet
worden ist. Es ist auch auf Wohnungen anwendbar, die in Häusern
gelegen sind, die aufgrund einer nach dem 30.06.1953 erteilten
Baubewilligung ohne Zuhilfenahme öffentlicher Mittel neu errichtet
wurden (§ 1 Abs 4 Z 1 MRG).</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Eignung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erklärt, dass der Mietgegenstand für den
beabsichtigten Mietzweck geeignet ist und sich in einem guten
baulichen Zustand befindet. Die Beschaffung allfälliger
verwaltungsbehördlicher Bewilligungen für diese Nutzung obliegt dem
Mieter, dem im Fall ihrer Nichterlangung keine wie immer gearteten
Ansprüche gegen den Vermieter zustehen.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Verwendung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übernimmt den Mietgegenstand in Hauptmiete.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Mietgegenstand darf ausschließlich zu Wohnzwecken verwendet
werden. Eine Änderung des Verwendungszweckes bedarf der
schriftlichen Zustimmung des Vermieters.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der Rechtsprechung des Obersten Gerichtshofs hält dieser die
vertragliche Einschränkung auf Vermietung zu Wohnzwecken – als
Abgrenzung zu Geschäftszwecken verstanden – für grundsätzlich
zulässig (9 Ob 4/23p). Sie ist auch nicht gröblich benachteiligend
gem § 879 ABGB (9 Ob 31/25m).</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Teilanwendbarkeit des MRG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Beide Vertragsparteien stellen fest, dass es sich beim
Vertragsobjekt um einen Mietgegenstand iSd § 1 Abs 4
Z 3 MRG handelt, sodass lediglich die §§ 14, 16b, 29 bis
36, 45, 46 und 49 MRG zur Anwendung gelangen.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2. Mietdauer</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Vertragsdauer</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Mietverhältnis beginnt am … [Datum] und wird auf drei Jahre
abgeschlossen. Es endet daher, ohne dass es einer Aufkündigung
bedarf, am … [Angabe des Datums].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Durch das 5. Mietrechtliche Inflationslinderungsgesetz, welches am
01.01.2026 in Kraft getreten ist, wird die Mindestbefristung für
Wohnungsmietverträge im Voll- und Teilanwendungsbereich des MRG von
drei Jahren auf fünf Jahre ausgedehnt (§ 29 Abs 1
Z 3 lit b MRG). Sofern der Vermieter kein Unternehmer im
Sinne des Konsumentenschutzgesetzes (kurz: KSchG) ist, kann der
Mietvertrag nach wie vor auf mindestens drei Jahre befristet werden
bzw erfolgt die stillschweigende Verlängerung um drei Jahre. Diese
Änderungen gelten für Verträge, die nach dem 31.12.2025
abgeschlossen oder vertraglich oder gesetzlich erneuert werden. Für
vor dem 01.01.2026 vereinbarte Befristungen bleibt die bisherige
Rechtslage weiterhin anwendbar. Wird jedoch ein bereits bestehender
Vertrag nach dem 31.12.2025 verlängert, gilt diese neue
Befristungsregelung.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Beim vorliegenden Mietvertragsmuster ist der Vermieter kein
Unternehmer im Sinne des KSchG, sodass der Mietvertrag nach wie vor
auf mindestens drei Jahre befristet wird.</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Kündigung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Vermieter steht ungeachtet der vereinbarten Befristung das
Recht zu, bei Vorliegen der Kündigungsgründe nach §§ 30 oder
31 MRG das Vertragsverhältnis vorzeitig unter Einhaltung einer
einmonatigen Kündigungsfrist aufzukündigen.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hat – ungeachtet des vereinbarten
Befristungszeitraums – nach Ablauf einer einjährigen Vertrags- oder
Verlängerungsdauer eine unabdingbare gesetzliche
Auflösungsmöglichkeit unter Einhaltung einer dreimonatigen
Kündigungsfrist auf den letzten Tag eines jeden Monats durch
schriftliche oder gerichtliche Kündigung.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Vertragliche Kündigungsfristen und Kündigungstermine gehen den
gesetzlichen Kündigungsfristen und Kündigungsterminen vor. Eine
vertragliche Abweichung von den gesetzlichen Fristen und Terminen
muss klar formuliert sein und darf keinen Zweifel darüber
offenlassen, zu welchen Termin zu kündigen ist. Es ist besser, wenn
man auf so genannte „verunglückte“ Kündigungsfristen verzichtet und
sich auf die gesetzlichen Kündigungsfristen und Kündigungstermine
verlässt. (MietSlg 50.812, MietSlg 52.811)</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 gesetzlichen Kündigungsfristen und Kündigungstermine sind für
Wohnungen oder Wohnräume: 12 Kündigungstermine: letzter Tag eines
Kalendermonats; Kündigungsfrist: ein Monat, wenn der Mietzins in
monatlichen oder kürzeren Abständen zu bezahlen ist, sonst drei
Monate (§ 560 Abs 1 Z 2 litd ZPO).</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Im Fall eines nach § 29 Abs 1 Z 3 MRG befristeten
Hauptmietvertrages über eine Wohnung hat der Mieter nach Ablauf
eines Jahres der ursprünglich vereinbarten oder verlängerten Dauer
des Mietverhältnisses das unverzichtbare und unbeschränkbare Recht,
den Mietvertrag vor Ablauf der vereinbarten Zeit jeweils zum
Monatsletzten gerichtlich oder schriftlich unter Einhaltung der
dreimonatigen Kündigungsfrist zu kündigen (§ 29 Abs 2
MRG).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Befristete Mietverträge, die nach Ablauf der wirksam vereinbarten
oder verlängerten Vertragsdauer weder vertraglich verlängert noch
aufgelöst werden, gelten einmalig als auf drei Jahre, oder, sofern
der Vermieter ein Unternehmer im Sinne des KSchG ist, als auf fünf
Jahre erneuert. Der Mieter hat jedoch jederzeit das unverzichtbare
und unbeschränkbare Recht, den erneuerten Mietvertrag jeweils zum
Monatsletzten gerichtlich oder schriftlich unter Einhaltung einer
dreimonatigen Kündigungsfrist zu kündigen. Wird der Mietvertrag
nach Ablauf dieser drei oder fünf Jahre ein weiteres Mal nicht
aufgelöst, gilt er als auf unbestimmte Zeit erneuert (§ 29
Abs 3 lit b MRG).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 29 Abs 1 Z 3 MRG befristete Mietverträge
können schriftlich beliebig oft um jede – bei Wohnungen jedoch drei
Jahre oder, sofern der Vermieter ein Unternehmer im Sinne des
Konsumentenschutzgesetzes ist, fünf Jahre jeweils nicht
unterschreitende – Vertragsdauer erneuert werden. Nach § 29
Abs 3 lit b erster Satz MRG befristete Mietverträge
können schriftlich – bei Wohnungen um mindestens drei Jahre oder,
sofern der Vermieter ein Unternehmer im Sinne des KSchG ist, um
mindestens fünf Jahre – erneuert werden (§ 29 Abs 4
MRG).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Der Vermieter hat die Kündigungsgründe bereits in der Kündigung
anzuführen. Es gilt für ihn die „Eventualmaxime“. Er kann während
des gerichtlichen Verfahrens keinen neuen Kündigungsgrund anführen.
Den Mieter trifft keine Eventualmaxime. Dies bedeutet, dass er
keine weiteren Einwendungen nachholen kann.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Der Vermieter hat die Kündigungsgründe ohne unnötigen Aufschub
geltend zu machen, weil ihm sonst ein stillschweigender Verzicht
auf den diesbezüglichen Kündigungsgrund unterstellt wird. Ein
stillschweigender Kündigungsverzicht ist nur dann anzunehmen, wenn
das Verhalten des Vermieters mit Überlegung aller Umstände des
Falles unter Berücksichtigung der im redlichen Verkehr geltenden
Gewohnheiten den Schluss zulässt, er habe auf die Aufhebung des
Kündigungsrechtes verzichtet, wobei es immer auf die Umstände des
einzelnen Falles und nicht allein darauf ankommt, dass der
Vermieter mit der Einbringung einer Kündigung längere Zeit
zugewartet hat. Bei einem Dauertatbestand kann im Zuwarten mit der
Kündigung grundsätzlich kein Verzicht auf die Geltendmachung des
Kündigungsgrundes erblickt werden (MietSlg 46.395, 47.396; GH
09.05.1995 4 Ob 1566/95, MietSlg 31.369, 34410, usw)</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3. Mietzins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Höhe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vereinbarte Mietzins errechnet sich aus:</w:t>
            </w:r>
          </w:p>
          <w:tbl>
            <w:tblPr>
              <w:tblStyle w:val="NormalTablePHPDOCX"/>
              <w:tblW w:w="5000" w:type="pct"/>
              <w:tblInd w:w="0" w:type="auto"/>
              <w:tblBorders>
                <w:top w:val="nil" w:color="363A40" w:sz="0"/>
                <w:left w:val="nil" w:color="363A40" w:sz="0"/>
                <w:bottom w:val="nil" w:color="363A40" w:sz="0"/>
                <w:right w:val="nil" w:color="363A40" w:sz="0"/>
              </w:tblBorders>
              <w:shd w:val="clear" w:color="auto" w:fill="FFFFFF"/>
            </w:tblPr>
            <w:tblGrid>
              <w:gridCol w:w="1"/>
              <w:gridCol w:w="1"/>
            </w:tblGrid>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3.1.1</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freien Hauptmietzins von monatlich EUR … [Betrag].</w:t>
                  </w:r>
                </w:p>
              </w:tc>
            </w:tr>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3.1.2</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Anteil an den Betriebskosten in der Höhe von monatlich
EUR … [Betrag], der entsprechend dem Nutzflächenschlüssel für
diesen Mietgegenstand … [Angabe des Prozentsatzes] %
beträgt,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Im Teilanwendungsbereich gilt das MRG nur teilweise. Stattdessen
gelten die mietrechtlichen Bestimmungen des ABGB. Gem § 1099
ABGB trägt grundsätzlich der Vermieter „alle Lasten und Abgaben“.
Unter „Lasten“ sind im Wesentlichen Betriebskosten und unter
„Abgaben“ die unmittelbar die Liegenschaft betreffenden Abgaben,
wie etwa die Grundsteuer zu verstehen (9 Ob 4/23p, 6 Ob 172/21v).
§ 1099 AGB stellt nachgiebiges Recht dar (RIS-Justiz
RS0018019), sodass die Parteien im Mietvertrag die Überwälzung
derartiger Kosten vereinbaren können. Der Oberste Gerichtshof
gelangte zum Ergebnis, dass es grundsätzlich zulässig ist, im
Teilanwendungsbereich des MRG neben dem Hauptmietzins auch
bestimmte Betriebskosten und öffentliche Abgaben vertraglich zu
vereinbaren, dh also die Kosten separat vom Mietzins
auszuweisen.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Der OGH gelangt in seiner jüngst ergangenen Entscheidung zum
Ergebnis, dass es grundsätzlich zulässig ist, im
Teilanwendungsbereich des MRG neben dem Hauptmietzins auch
bestimmte Betriebskosten und öffentliche Abgaben, wie
beispielsweise Versicherungsprämien, Verwaltungskosten,
Hausbetreuung und öffentliche Abgaben, vertraglich zu vereinbaren,
dh also die Kosten separat vom Mietzins zu vereinbaren (6 Ob
162/24b).</w:t>
                  </w:r>
                </w:p>
              </w:tc>
            </w:tr>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3.1.3</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Anteil für besondere Aufwendungen (insbesondere Aufzug,
usw.) in der Höhe von monatlich EUR … [Betrag] gem obigem
Prozentsatz.</w:t>
                  </w:r>
                </w:p>
              </w:tc>
            </w:tr>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3.1.4</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jeweiligen gesetzlichen Umsatzsteuer in der Höhe von
monatlich EUR … [Betrag]</w:t>
                  </w:r>
                </w:p>
              </w:tc>
            </w:tr>
          </w:tbl>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Wertsicherungsvereinbarung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Hauptmietzins beträgt monatlich EUR … zuzüglich
Umsatzsteuer und wird, wertgesichert gem § 1 Abs 2 des
Mieten-Wertsicherungsgesetzes vereinbart: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Hauptmietzins wird auf den von der Statistik Austria
verlautbarten monatlichen Index der Verbraucherpreise 2020 oder –
sollte dieser Index nicht mehr verlautbart werden – einen an seine
Stelle tretenden Index wertbezogen. Ausgangsbasis für diese
Wertsicherung ist die für den Monat … errechnete endgültig
verlautbarte Indexzahl.</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durch die Wertsicherung eingetretene Erhöhung des Mietzinses
wird dem Mieter vom Vermieter schriftlich bekannt gegeben, dies
spätestens 14 Tage vor dem Zinstermin, zu dem dann der Mieter zur
Bezahlung des erhöhten Betrages verpflichtet ist.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Unter Wertsicherung versteht man die Anpassung des Mietzinses an
die Inflationsentwicklung.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Eine solche Anpassung erfolgt – mit wenigen Ausnahmen – nicht
automatisch, sondern setzt eine vertraglich vereinbarte
Wertsicherungsklausel voraus. Fehlt eine derartige Vereinbarung,
kann eine Wertsicherung nicht geltend gemacht werden und der
Mietzins inflationsbedingt nicht angepasst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Im Einzelfall kann eine durch Wertsicherung dem Mieter
bekanntgegebene Erhöhung des Mietzinses gegen § 879 ABGB
verstoßen, weil die Mietzinserhöhung sachlich nicht gerechtfertigt
ist (vgl 10 Ob 23/24s). Auch kann sie aufgrund der vor dem
Mietbeginn liegenden Ausgangsbasis ungewöhnlich iSd § 864a
ABGB sein (vgl 10 Ob15/25s).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Das 5. MILG, welches am 01.01.2026 in Österreich in Kraft getreten
ist, brachte Änderungen für Wohnungsmietverträge. Bestandteil des
5. MILG ist das Mieten-Wertsicherungsgesetz (kurz: MieWeG). Mit dem
MieWeG soll ein einheitliches, gesetzlich vorgegebenes Modell für
Wertsicherungsklauseln bei Wohnungsmietverträgen geschaffen werden.
Es gilt sowohl für ab 01.01.2026 abgeschlossene Mietverträge als
auch für Mietverträge, die bereits vor dem 01.01.2026 abgeschlossen
wurden. Es umfasst Wohnungsmietverträge, also Haupt- und
Untermietverträge über Wohnungen im Anwendungsbereich des MRG,
einschließlich der in § 1 Abs 4 MRG genannten
Sonderfälle. Der Mietzins verändert sich erstmals am 01.04. des
Kalenderjahres nach Vertragsabschluss und in weiterer Folge
jährlich am 1. April. Maßstab bildet die durchschnittliche
Veränderung des VPI 2020 im Kalenderjahr vor dem
Valorisierungszeitpunkt. Nach dem Berechnungsmechanismus des MieWeG
erfolgen Valorisierungen der Mietzinse zum 1. April eines jeden
Jahres. Betraglich sind die jährlichen Mietzinserhöhungen insofern
beschränkt, als bei einer nach der durchschnittlichen Veränderung
des VPI 2020 zu ermittelnden Vorjahresinflation, die 3 %
übersteigt, der 3 %-liegende übersteigende Teil nur zur Hälfte
in die Mietzinserhöhung eingerechnet wird. Die errechnete
Veränderung wird nur im Ausmaß der vollen Monate des vor dem
Valorisierungszeitpunkt liegenden Kalenderjahres seit
Vertragsabschluss berücksichtigt.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In einem Wohnungsmietvertrag im Teil- und Vollanwendungsbereich des
MRG kann gem § 2 MietWeG eine Wertsicherung auch durch bloße
Bezugnahme auf § 1 Abs 2 Mieten-Wertsicherungsgesetz
sowie gegebenenfalls § 1 Abs 3
Mieten-Wertsicherungsgesetz vereinbart werden, etwa indem im
Zusammenhang mit der Festlegung des Entgelts die Wendung
„wertgesichert gem § 1 Abs 2 Mieten-Wertsicherungsgesetz“
angeführt wird oder indem bei Wohnungsmietverträgen, auf die
Mietzinsbeschränkungen des MRG Anwendung finden und die vor dem
01.12.2026 abgeschlossen werden, die Wendung „wertgesichert gem
§ 1 Abs 2 und Abs 3 des Mieten-Wertsicherungsgesetz“
angeführt wird.</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 4 Abs 3 MieWG sieht folgende Verjährungs- und
Rückforderungsbestimmungen im Fall von unwirksamen
Wertsicherungsklauseln vor: Ist bei einem Altmietvertrag eine
Wertsicherungsvereinbarung unwirksam, sind daraus resultierende
Rückforderungsansprüche auf Zahlungen beschränkt, die in den
letzten fünf Jahren vor Vertragsbeendigung geleistet wurden. Ist
das Vertragsverhältnis im Zeitpunkt der Kenntnis der
Rechtsunwirksamkeit und des Rückforderungsanspruchs noch aufrecht,
gilt diese Beschränkung auf Zahlungen, die in den letzten fünf
Jahren vor dieser Kenntnis geleistet wurden. Die
Rückforderungsansprüche verjähren in drei Jahren ab Kenntnis der
Rechtsunwirksamkeit und des Rückforderungsanspruchs, längstens aber
in 30 Jahren ab Zahlung. Diese Begrenzung gilt nur für Altverträge
(vor dem 01.01.2026 abgeschlossene Wohnungsmietverträge), also
nicht für Neuverträge und nicht für MRG-Vollausnahmen, wie etwa
Mietverträge über Wohnungen in Ein- oder Zwei-Objekte-Häusern.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Gemeinschaftseinrichtungen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ist berechtigt, am Betrieb der vorhandenen
Gemeinschaftseinrichtungen teilzunehmen.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Sonstige Kosten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Mietzins nicht enthalten sind die Kosten für Strom,
Warmwasser, Heizung und diverse Nebengebühren, wie Rundfunk- und
Fernsehgebühren, Telefonkosten, usw. Diesbezüglich hat der Mieter
selbst direkt mit den jeweiligen Versorgungsunternehmen die
entsprechenden Verträge im eigenen Namen und auf eigene Rechnung
abzuschließen.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Betriebskostenabrechnung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ist damit einverstanden, dass die Betriebskosten
sowie Zuschläge für … monatlich in der Höhe von EUR … [Betrag]
verrechnet werden. Nach Ablauf des jeweiligen Jahres werden diese
Nebenkosten abgerechnet und dem Mieter entweder eine Gutschrift
erteilt oder er hat die Mehrkosten mit der nachfolgenden
Monatsvorschreibung zu bezahlen.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Dem Vermieter steht es frei, Betriebskostenpositionen in den
Mietzins einzupreisen oder separat zu vereinbaren, weil beides
sachgerecht ist (6 Ob 162/24b).</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Jahresbetriebskosten in der Abrechnung für das konkrete Mietobjekt
sollen jeweils darlegen, welche Fläche das Mietobjekt aufweist und
welche Gesamtfläche der Betriebskostenabrechnung zugrunde liegt (4
Ob 143/23t).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Fälligkeit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vereinbarte Mietzins ist im Voraus monatlich jeweils am 5.
eines Monats zu entrichten.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Bei der Raummiete ist der Mietzins gem § 1100 monatlich, und
zwar jeweils am 5. eines jeden Monats zu entrichten.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3.7</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Zahlungsweise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Zahlung der monatlichen Miete in der Höhe von EUR …
[Betrag] hat ausschließlich durch Überweisung auf das vom Vermieter
bekanntzugebende Konto zu erfolgen. Der Mieter nimmt zur Kenntnis,
dass der Mietzins mit schuldbefreiender Wirkung nur auf diese Weise
entrichtet werden kann.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4. Kaution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Höhe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bezahlt dem Vermieter anlässlich des Abschlusses des
Mietvertrages eine Kaution in Höhe von EUR … [Betrag].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 Höhe der Kaution ist zwischen den Vertragsparteien eine
Vereinbarungssache. Als üblich werden in der Praxis drei
Monatsmieten angesehen. Der OGH hat die Kaution bis zu sechs
Monatsmieten für zulässig erklärt. Dieser Betrag gilt als
Richtwert. Es ist lediglich zu prüfen, ob ein grobes
Ungleichgewicht zulasten des Mieters bewirkt wird. Eine höhere
Kaution ist nur bei einem besonderen Sicherstellungsinteresse des
Vermieters zulässig. Ausschlaggebend sind hierbei die Höhe des
Mietzinses, die Bonität des Mieters, die Ausstattung des
Mietobjekts oder die Zurverfügungstellung von
Einrichtungsgegenständen.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Da die Kaution zur Sicherstellung aus dem Mietverhältnis dient, ist
diese erst nach Unterzeichnung des Mietvertrages zu übergeben. Der
Mieter ist nicht verpflichtet, eine Vorleistung der Kaution zu
erbringen. In welcher Form die Kaution bezahlt wird, ist in der
Regel Vereinbarungssache. In der Praxis häufig sind Barkautionen,
möglich sind übergebene Sparbücher oder Bankgarantien.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Das klassische Sparbuch in Papierform stellt in Österreich ein
Auslaufmodell dar. An seine Stelle tritt das Sparkonto.</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Veranlagung und Verzinsung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Diese Kaution ist vom Vermieter zu dem für täglich fällige
Einlagen erzielbaren Zinssatz zu verzinsen. Vorbehaltlich
Gegenforderungen hat der Vermieter dem Mieter nach Beendigung des
Mietverhältnisses die Kaution samt den Zinsen auszufolgen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Im Teilanwendungsbereich des MRG gilt die Rechtslage seit der WRN
2009, dass eine Barkaution vom Vermieter auf einem Sparbuch oder
auf einem Sparkonto fruchtbringend angelegt wird und der Mieter
darüber auf Verlangen schriftlich verständigt wird.</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 16b Abs 1 MRG sind andere Arten der
Kautionsveranlagung zulässig, wenn sie eine gleich gute Verzinsung
und – insbesondere durch Anwendbarkeit der gesetzlichen
Einlagensicherung – eine gleich hohe Sicherheit wie eine
Spareinlage bieten und wenn sie eine eindeutige Abgrenzung von
Vermögen des Vermieters und dessen Insolvenz eine Absonderung
ermöglichen.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Verwendungszweck</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Kaution dient zur Absicherung des Vermieters gegen
Zinsausfälle betreffend das gegenständliche Mietobjekt. Der
Vermieter ist berechtigt, Forderungen gegen den Mieter sowohl aus
dem Titel des Mietzinsrückstandes als auch des Schadenersatzes zu
decken.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Für den Fall der Inanspruchnahme dieser Kaution hat der Mieter
über Verlangen des Vermieters den Fehlbetrag auf die bedungene
Kaution unverzüglich wieder aufzufüllen.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Kaution gilt daher auch zur Absicherung des Vermieters für
eine ordnungsgemäße Rückgabe des Mietgegenstandes nach Ablauf der
Mietzeit.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Zurückstellung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Nach Beendigung des Mietverhältnisses hat der Vermieter dem
Mieter die Kaution samt den aus ihrer Veranlagung erzielten Zinsen
unverzüglich zurückzustellen, soweit die Kaution nicht zur Tilgung
von Forderungen des Vermieters aus dem Mietverhältnis herangezogen
wird.</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Beendigung des Mietverhältnisses hat der Vermieter dem Mieter
gem § 16b Abs 2 MRG die Kaution samt den aus ihrer
Veranlagung erzielten Zinsen unverzüglich zurückzustellen, soweit
sie nicht zur Tilgung von berechtigten Forderungen des Vermieters
aus dem Mietverhältnis herangezogen wird.</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5. Übergabe und Übernahme</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Übergabe und Übernahme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Mit Abschluss dieses Mietvertrages mietet der Mieter das in
Punkt 1 genannte Mietobjekt zu den Bedingungen des Mietvertrags. Er
bestätigt gleichzeitig, dass sich der Mietgegenstand bei Übergabe
in einem guten und brauchbaren Zustand befunden hat.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Es ist empfehlenswert, bei der Übergabe des Mietgegenstandes ein
Übergabeprotokoll zu erstellen, um im Streitfall Forderungen des
Vermieters begegnen zu können.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Das Übergabeprotokoll sollte den Zustand des Mietgegenstandes genau
dokumentieren und von den Vertragsparteien unterfertigt werden.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6. Erhaltung und Schutz des
Mietgegenstandes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Erhaltungspflicht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erklärt, den Mietgegenstand in einem guten und
brauchbaren Zustand übernommen zu haben.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verpflichtet sich, den Mietgegenstand sowie alle in
diesem Mietgegenstand enthaltenen Einrichtungs- und
Ausstattungsgegenstände, die in einer diesem Vertrag
angeschlossenen Inventarliste aufgezählt und beschrieben sind und
dem Mieter zur Benützung überlassen wurden, zu schonen und zu
warten.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Wesentliche Änderungen am Mietgegenstand hat der Mieter dem
Vermieter anzuzeigen und dessen Zustimmung abzuwarten.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Unterliegt ein Mietgegenstand nur teilweise oder gar nicht dem MRG,
kommt § 1096 ABGB zur Anwendung. Danach hat der Vermieter den
Mietgegenstand auf eigene Kosten in brauchbarem Zustand zu
übergeben und zu erhalten. Daraus leitet sich eine
Erhaltungspflicht des Vermieters ab, welche alle Mängel umfasst.
Vertragliche Vereinbarungen zwischen dem Vermieter und dem Mieter,
wonach diese Verpflichtung auf den Mieter überwälzt wird, sind
grundsätzlich zulässig und rechtswirksam. Die Grenzen solcher
Vereinbarungen liegen nach der Judikatur des OGH in der gröblichen
Benachteiligung des Mieters.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Wo die Grenze zu „bloßen Wartungsarbeiten“ liegt, die der Mieter
durchzuführen hat, ist stets im Einzelfall zu prüfen. Eine
Unterscheidung in Erhaltungspflicht und Instandhaltungspflicht oder
Wartungspflicht trifft § 1096 ABGB nicht. Daraus wiederum
leitet sich eine Erhaltungspflicht, Instandhaltungspflicht und
Wartungspflicht des Vermieters ab, welche alle Mängel umfasst.
Vertragliche Vereinbarungen zwischen dem Vermieter und dem Mieter,
wonach diese Verpflichtung auf den Mieter überwälzt wird, sind
grundsätzlich zulässig und wirksam. Die Grenzen solcher
Vereinbarungen liegen nach der Judikaturlinie des OGH in der
gröblichen Benachteiligung des Mieters.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Werden Ausbesserungen am Mietgegenstand nötig, so ist gem
§ 1097 ABGB der Mieter bei sonstigem Schadenersatz
verpflichtet, dem Vermieter ohne Verzug Anzeige zu machen.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Behebungspflicht und Schadenersatz</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Behebung von ernsten Schäden des Hauses oder die Beseitigung
einer erheblichen Gesundheitsgefährdung obliegt auch innerhalb des
Mietgegenstandes dem Vermieter. Wird die Behebung von ernsten
Schäden des Hauses nötig, so ist der Mieter bei sonstigem
Schadenersatz verpflichtet, dem Vermieter ohne Verzug Anzeige zu
machen.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Elektrobefund</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bestätigt hiermit, mit Unterfertigung dieses
Vertrages vom Vermieter den Elektrobefund, Beilage ./A, ausgefolgt
erhalten zu haben.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Bei Vermietung einer Wohnung gem § 2 MRG ist sicherzustellen,
dass die elektrische Anlage der Wohnung den Bestimmungen des ETG
1992 entspricht. Bei Anlagen, die in Steckdosenstromkreisen über
keinen zusätzlichen Schutz (Zusatzschutz) verfügen, ist unbeschadet
des vorhandenen Anlagenschutzes, der Schutz von Personen in der
elektrischen Anlage durch den Einbau mindestens eines
Fehlerstrom-Schutzschalters mit einem Nennfehlerstrom von nicht
mehr als 30 mA unmittelbar vor den in der Wohnung befindlichen
Leitungsschutzeinrichtungen, sicherzustellen. Liegt hierüber keine
geeignete Dokumentation vor, so kann der Mieter der Wohnung nicht
davon ausgehen, dass die elektrische Anlage den Anforderungen
entspricht (§ 7 ETV).</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 Bestimmung des § 7 ETV auf Mietverhältnisse im Sinne des
ABGB ist nicht direkt anzuwenden, da die ETV spezifisch für
Elektrotechnik und nicht für Mietverträge im Allgemeinen gilt.
Allerdings können die grundlegenden Prinzipien des § 7 ETV,
wie den Schutz von Personen und die Einhaltung der
Sicherheitsstandards, auch auf Mietverhältnisse, die dem ABGB zur
Gänze oder dem MRG teilweise unterliegen, angewendet werden, um die
Sicherheit und den Schutz der Mieter zu gewährleisten.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pacing w:before="0" w:after="0" w:line="240" w:lineRule="auto"/>
              <w:ind w:left="0" w:right="0"/>
              <w:jc w:val="left"/>
            </w:pPr>
            <w:r>
              <w:rPr>
                <w:rFonts w:ascii="Arial" w:hAnsi="Arial" w:eastAsia="Arial" w:cs="Arial"/>
                <w:color w:val="363A40"/>
                <w:position w:val="0"/>
                <w:sz w:val="20"/>
                <w:szCs w:val="20"/>
                <w:shd w:val="clear" w:color="auto" w:fill="FFFFFF"/>
              </w:rPr>
              <w:t xml:space="preserve">6.4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Sicherheitsbeschränkungen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Mieter ist es ausdrücklich untersagt, Geräte aller Art zu
installieren, welche nicht den zum jeweiligen Zeitpunkt gültigen
Sicherheitsvorkehrungen entsprechen. Insbesondere dürfen Strom- und
Gasgeräte nicht angeschlossen werden, welche nicht den
österreichischen Sicherheitsstandards entsprechen (ÖVE udgl).</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7. Benützung des
Mietgegenstandes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Abstellen von Fahrnissen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Es ist dem Mieter nicht erlaubt, auf allgemein zugänglichen
Flächen, wie insbesondere auf Gängen, Fahrnisse aller Art
abzustellen. Das Aufstellen und Lagern von Fahrnissen jeglicher Art
sowie das Abstellen von Fahrzeugen und Transportmitteln wie Fahr-
und Krafträder, Autos, Kinderwagen usw außerhalb des
Mietgegenstandes ist nur auf den hierfür gesondert bezeichneten
Abstellflächen, laut Lageplan, Beilage ./B, erlaubt.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Abstellen von Fahrzeugen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Abstellen von Fahrzeugen jeglicher Art ist nur auf den
hierfür gesondert bezeichneten Stellplätzen, Beilage ./B, welche
einen integrierenden Bestandteil dieses Vertrages bildet,
erlaubt.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Besitzstörung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Wird der Mieter im Genuss der Mietrechte gestört, ist er
berechtigt, seine Ansprüche gegen den Störer selbst unmittelbar
klageweise durchzusetzen.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Hausordnung und Energieausweis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sowie die bei ihm aus- und eingehenden Personen
verpflichten sich zur Einhaltung der Hausordnung, Beilage ./C, die
einen integrierenden Bestandteil dieses Vertrages bildet. Mit
seiner Unterschrift bestätigt der Mieter, dass ihm ein Exemplar der
Hausordnung ausgefolgt wurde oder er in voller Kenntnis derselben
(Aushang) ist. Dem Mieter wurde rechtzeitig vor Zustandekommen des
Vertrages ein den gesetzlichen Anforderungen entsprechenden
Energieausweis zur Einsicht und Prüfung vorgelegt. Dieser bildet
einen integrierenden Bestandteil des vorliegenden Vertrages und ist
vollumfänglich – in Erfüllung der Aushändigungspflicht des § 4
EAVG 2012 – dem Mietvertrag als Beilage./D in Kopie beigefügt.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 Hausordnung enthält Verhaltensregeln der Hausbewohner,
Wohnungseigentümer, Mieter, Besucher und Dritter für
Gemeinschaftsflächen, Ruhezeiten, sowie Sicherheitsvorkehrungen.
Sie dient der Ergänzung des Mietvertrages.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Ein Energieausweis ist ein Ausweis, der die Gesamtenergieeffizienz
eines Gebäudes angibt. Wird dem Mieter vor Abgabe einer
Vertragserklärung ein Energieausweis ausgehändigt, gelten die darin
angegebenen Energiekennzahlen für das Gebäude als vereinbarte
Eigenschaften. Liegen die tatsächlichen Energiewerte außerhalb der
unvermeidlichen Bandbreite-Abweichungen, können mitunter +/–
10 % betragen, stehen dem Mieter neben seinen Ansprüchen aus
der Gewährleistung aber auch Schadenersatzansprüche aufgrund des
unrichtigen Energieausweises zu. Wird dem Mieter nicht bis
spätestens zur Abgabe seiner Vertragserklärung ein Energieausweis
vorgelegt, gilt eine dem Alter und der Art des Gebäudes
entsprechende Gesamtenergieeffizienz als vereinbart. Weist das
Gebäude diese Eigenschaften nicht auf, stehen dem Mieter wiederum
Ansprüche aus der Gewährleistung und (oder) dem Schadenersatz zu.
Dasselbe gilt auch für die Vorlage eines zehn Jahre alten oder
nicht den Anforderungen des Gesetzes entsprechenden
Energieausweises. Wird trotz Aufforderung noch immer kein
Energieausweis dem Mieter ausgehändigt, kann der Mieter entweder
die Ausweisaushändigung gerichtlich erzwingen oder selbst einen
Energieausweis einholen und die ihm daraus entstandenen
angemessenen Kosten binnen drei Jahren nach Vertragsabschluss
ersetzt verlangen.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Tierhaltung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Mieter ist das Halten von Tieren im Mietobjekt untersagt.
Ausdrücklich ausgenommen hiervon sind nur wohnungsübliche,
artgerechte in Behältnissen gehaltene Kleintiere, wie Zierfische,
Ziervögel, Hamster oder kleine Schildkröten.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Ein generelles Verbot der Tierhaltung in einem Mietvertrag ist
unzulässig. Mit einem derart umfassenden Verbot wird selbst die
artgerechte Haltung wohnungsüblicher Kleintiere, wie Zierfische,
Ziervögel, Hamster oder kleine Schildkröten – in Behältnissen
untersagt. Nach Auffassung des OGH besteht dafür kein sachlicher
Grund. Ein allgemeines Tierhalteverbot in einem Mietvertrag stellt
eine unzulässige, gröbliche Benachteiligung des Mieters dar (vgl
OGH vom 19.10.2021, Zl 10 Ob 24/21h).</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Gesonderte Vereinbarung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In diesem Vertrag nicht angeführte Liegenschaftsteile können nur
durch gesonderte schriftliche Vereinbarung der Parteien Gegenstand
dieses Mietvertrages werden.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8. Rückgabe des
Mietgegenstandes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Rückstellung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Nach Ablauf der Mietzeit ist der Mieter verpflichtet, dem
Vermieter das Mietobjekt in gleich gutem und unbeschädigtem Zustand
wie bei der Übergabe – unter Berücksichtigung normaler Abnützung –
zurückzugeben.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 1109 ABGB muss der Mieter das Mietobjekt samt dem
Inventar in dem Zustand, in welchem er sie übernommen hat,
zurückzustellen. Weder ein Zurückbehaltungsrecht noch der
Kompensationseinwand kann ihn vor der Zurückstellung schützen.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t xml:space="preserve">:</w:t>
            </w:r>
            <w:r>
              <w:rPr>
                <w:rFonts w:ascii="Arial" w:hAnsi="Arial" w:eastAsia="Arial" w:cs="Arial"/>
                <w:color w:val="000000"/>
                <w:position w:val="0"/>
                <w:sz w:val="20"/>
                <w:szCs w:val="20"/>
                <w:shd w:val="clear" w:color="auto" w:fill="FFFFFF"/>
              </w:rPr>
              <w:br/>
              <w:t xml:space="preserve">Der Mietgegenstand ist in dem Zustand zu übergeben, in welchem er
sich im Zeitpunkt des Mietvertragsabschlusses befunden hat. Übliche
Abnützungsspuren, die bei vertragsgemäßem und schonendem
Wohnungsgebrauch entstehen, muss sich der Vermieter gefallen
lassen. Deshalb wird der Mietzins bezahlt. Bei bloß gewöhnlicher
Abnützung ist somit der Mieter nicht verpflichtet,
Renovierungsarbeiten durchzuführen. Geringfügige Veränderungen des
Mietgegenstandes durch den Mieter können im Mietgegenstand belassen
werden. Die nach einer Demontage von Kästen zurückgelassenen Löcher
in einer nichtverfliesten Wand zählen als gewöhnliche Abnützung.
Kratzer in der Badewanne sowie Schäden an den Tapeten sind als
gewöhnliche Abnützung anzusehen. Dübellöcher in zwei Räumen gehören
nicht mehr zur gewöhnlichen Abnützung, ebenso nicht das Verkleben
eines Teppichbodens auf den neuen Parkettboden. Tiefe Kratzer und
dunkle Flecken im Parkett stellen eine außergewöhnliche Abnützung
dar.</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Wurde im Mietvertrag dazu nichts vereinbart und weisen die Wände
nur gewöhnliche Abnützungsspuren auf, so ist der Mieter nicht zum
Neuausmalen verpflichtet. Anders verhält es sich, wenn die Wände
(Malerei) über das normale Ausmaß hinausgehende Abnützungen oder
Beschädigungen (auffallende Flecken oder Löcher in den Wänden
aufweisen bzw die Mietwohnung mit ungewöhnlichen, auffälligen
Farben ausgemalt wurde. Ungewöhnliche Farbgestaltungen
(beispielsweise rot, schwarz) müssen vor der Rückgabe der Wohnung
beseitigt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der Judikatur des Obersten Gerichtshofes sind in der Regel
Ausmalverpflichtungen in Mietvertragsformularen unwirksam, es sei
denn, es gibt eine sachliche Verpflichtung. Sachlich gerechtfertigt
und wirksam ist eine Ausmalverpflichtung etwa dann, wenn der
Vermieter sich bereit erklärt, dem Mieter die Kosten des
Neuausmalens zu ersetzen.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Stellt der Mieter den Mietgegenstand in übermäßig abgenutztem oder
beschädigtem Zustand zurück, so haftet er dem Vermieter für diese
Schäden. Wenn die Beschädigungen oder übermäßigen Abnutzungen auf
ein Verschulden des Mieters zurückzuführen sind, wird er
schadenersatzpflichtig. Dies auch dann, wenn der Schaden von
Gästen, Handwerkern oder Besuchern schuldhaft verursacht wurde.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Bei der Berechnung des Schadens ist auf den Zeitwert der
beschädigten Sache abzustellen. Es ist zu berücksichtigen, wenn
abgenutzte Bestandteile des Mietgegenstandes nicht mehr neuwertig
sind und sich der Mietgegenstand bereits im Zeitpunkt der Anmietung
in einem stark abgenutzten Zustand befunden hat. Hat die
beschädigte Sache aufgrund ihres Alters nur einen geringen oder gar
keinen Zeitwert mehr, können nicht die vollen bzw keine
Neuanschaffungskosten mehr verlangt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Im Schadensfall muss der Vermieter den Schadenersatzanspruch
innerhalb eines Jahres ab Rückstellung des Mietgegenstandes
gerichtlich geltend machen, ansonsten verfällt der Anspruch
(§ 1111 ABGB).</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Benützungsentgelt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Fall verspäteter Übergabe schuldet der Mieter dem Vermieter
ein Benützungsentgelt im Ausmaß des zuletzt geschuldeten
Mietzinses.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Verzögert sich die Rückstellung aus Gründen, die beim Mieter
liegen, kann der Vermieter für die Zeit ab Beendigung des
Mietverhältnisses bis zur tatsächlichen Rückstellung des
Mietgegenstandes ein angemessenes Benützungsentgelt verlangen. Für
den Fall, dass die verzögerte Rückstellung vom Mieter verschuldet
wurde, kann er auch Schadenersatzansprüche geltend machen.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9. Untervermietung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9.1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Untermietverbot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gänzliche oder teilweise Untervermietung des
Mietgegenstandes an Dritte ist dem Mieter nicht gestattet.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Grundsätzlich ist gem § 1098 ABGB der Mieter berechtigt, den
Mietgegenstand unterzuvermieten, wenn dies ohne Nachteil des
Vermieters erfolgen kann und dies nicht ausdrücklich vertraglich
untersagt worden ist.</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10. Vereinbarte Kündigungsgründe und
Vertragsauflösung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Vereinbarte Kündigungsgründe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Neben den im Gesetz vorgesehenen Kündigungsgründen wird als
wichtiger und bedeutsamer Kündigungsgrund seitens des Vermieters
gem § 30 Abs 2 Z 13 MRG vereinbart, dass dieser
Kündigungsgrund dann gegeben ist, wenn der Mieter den
Mietgegenstand nicht regelmäßig zur Befriedigung des dringenden
Wohnbedürfnisses verwendet.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Ein als wichtig und bedeutsam bezeichneter Umstand kann nur dann
als Kündigungsgrund gewertet werden, wenn er den anderen im
§ 30 Abs 2 MRG aufgezählten Fällen an Bedeutung
gleichkommt.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 30 Abs 2 Z 13 MRG können im Mietvertrag –
ergänzend zum Katalog des § 30 Abs 2 MRG – wichtige und
bedeutsame Umstände als Kündigungsgründe vereinbart werden. Der
vereinbarte Kündigungsgrund muss bestimmt bezeichnet und für den
Vermieter objektiv bedeutsam sein sowie den sonst in § 30
Abs 2 MRG angeführten Gründen zwar nicht gleich-, aber doch
nahekommen (RIS-Justiz RS0070752, RIS-Justiz RS0070705). Jene
Tatsache, die den Kündigungsgrund bilden soll, muss also bereits im
Mietvertrag zur Gänze konkret angeführt werden. Es reicht nicht
aus, nur einen allgemeinen Tatbestand (zB Verkauf oder Eigenbedarf)
zu nennen und die Konkretisierung der Kündigung zu überlassen
(RIS-Justiz RS007079). Beispielsweise kann also nicht der
Eigenbedarf schlechthin, sondern nur ein ganz bestimmter Fall von
Eigenbedarf als Endigungsgrund für das Mietverhältnis rechtswirksam
vereinbart werden, und dieser Fall muss sodann tatsächlich
eingetreten sein (RIS-Justiz RS0070705).</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 30 Abs 3 MRG ist eine Vereinbarung
rechtsunwirksam, wonach dem Vermieter das Kündigungsrecht
unbeschränkt oder in einem weiteren als dem nach § 30
Abs 1 und 2 MRG bestimmten Maß zustehen soll. Diese zwingende
Bestimmung kann nicht dadurch umgangen werden, dass ein nicht den
Kündigungstatbeständen zu unterstellendes Verhalten als
Kündigungsgrund vereinbart wird. Als solche unzulässige Umgehung
der Kündigungsbeschränkungen wurde etwa die schriftliche
Vereinbarung der Veräußerung der Liegenschaft als wichtiger Umstand
für die Kündigung ohne besonderes Bedürfnis des Vermieters nach
dieser Auflösungsmöglichkeit gewertet (RIS-Justiz RS0070712) und
demgemäß auch ausgesprochen, dass im Allgemeinen die Veräußerung
des Bestandobjekts für sich allein nicht als wichtiger Umstand für
die Kündigung angesehen werden kann (3 Ob 181/1h, usw).</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Eine Kündigung nach § 30 Abs 1 MRG (Generalklausel) kommt
nur dann in Betracht, wenn anstelle der fehlenden Voraussetzungen
eines speziellen Kündigungstatbestandes andere wichtige Merkmale
vorliegen, die an Gewicht und Bedeutung jenen gleichkommen (MietSlg
56.352, usw). Die Generalklausel des § 30 Abs 1 MRG hat
nicht die Aufgabe, fehlende Merkmale der Kündigungsgründe des
§ 30 Abs 2 MRG zu ersetzen, sondern dient dazu, vom
Gesetz sonst nicht erfasste, aber an Gewicht den Kündigungsgründen
des § 30 Abs 2 MRG gleichwertige Sachverhalte diesen
gleichzusetzen. Eine Aufkündigung nach § 30 Abs 1 MRG ist
daher nur zulässig, wenn anstelle der fehlenden Voraussetzungen
eines Tatbestandes nach § 30 Abs 2 MRG solche
zusätzlichen Umstände vorliegen, dass der gesamte Sachverhalt an
Wichtigkeit den im § 30 Abs 2 MRG aufgezählten
Kündigungsgründen gleichkommt. Der Richter muss aufgrund der
Prüfung der gesamten Sachlage und Rechtslage zum Schluss kommen,
dass im Einzelfall Gründe vorliegen, die an Gewicht nicht hinter
den in § 30 Abs 2 MRG angeführten Kündigungsgründen
zurückstehen (RIS-Judikatur RS0070192). Ein Sachverhalt, der einem
Spezialtatbestand des § 30 Abs 2 MRG zu unterstellen
wäre, für dessen Verwirklichung jedoch ein Merkmal fehlt, kann nur
dann einen wichtigen Kündigungsgrund iSd § 30 Abs 1 MRG
darstellen, wenn das fehlende Merkmal durch ebenso gewichtige,
zusätzliche Sachverhaltselemente ersetzt wird (1 Ob 16/05t).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Vertragsauflösung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Dessen unbeschadet steht den Vertragsparteien jederzeit das
Recht zu, den Mietvertrag im Sinne der Bestimmungen der
§§ 1117, 1118 ABGB vorzeitig aufzulösen.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Nicht jede Vertragsverletzung versetzt den Mieter oder den
Vermieter in die Lage, gem §§ 1117, 1118 ABGB die
Vertragsauflösung zu erklären, sondern nur die darin aufgezählten
Tatbestände. Die Verletzung irgendeiner Nebenabrede dieses
Vertrages wird dazu regelmäßig nicht ausreichen.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11. Kosten und Gebühren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Vertragserrichtungskosten</w:t>
            </w:r>
            <w:r>
              <w:rPr>
                <w:rFonts w:ascii="Arial" w:hAnsi="Arial" w:eastAsia="Arial" w:cs="Arial"/>
                <w:color w:val="000000"/>
                <w:position w:val="0"/>
                <w:sz w:val="20"/>
                <w:szCs w:val="20"/>
                <w:shd w:val="clear" w:color="auto" w:fill="FFFFFF"/>
              </w:rPr>
              <w:br/>
              <w:t xml:space="preserve">Die Kosten der Errichtung dieses Mietvertrages trägt der
Vermieter.</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Beratungskosten</w:t>
            </w:r>
            <w:r>
              <w:rPr>
                <w:rFonts w:ascii="Arial" w:hAnsi="Arial" w:eastAsia="Arial" w:cs="Arial"/>
                <w:color w:val="000000"/>
                <w:position w:val="0"/>
                <w:sz w:val="20"/>
                <w:szCs w:val="20"/>
                <w:shd w:val="clear" w:color="auto" w:fill="FFFFFF"/>
              </w:rPr>
              <w:br/>
              <w:t xml:space="preserve">Die Kosten einer rechtsfreundlichen Beratung trägt jede
Vertragspartei selbst.</w:t>
            </w:r>
          </w:p>
        </w:tc>
      </w:tr>
    </w:tbl>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Allfällige Vertragserrichtungskosten richten sich nach dem Tarif
des jeweiligen Vertragsverfassers, wie zum Beispiel eines
Rechtsanwalts, für den Fall, dass ein solcher beigezogen wird.</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Mietvertragserrichtungskosten werden manchmal bei Abschluss eines
Mietvertrags für den dadurch entstandenen Aufwand vom Mieter
verlangt. Es gibt dafür keine gesetzliche Grundlage. Seit dem
Erkenntnis des OGH (wobl 1993/125 zust </w:t>
      </w:r>
      <w:r>
        <w:rPr>
          <w:rFonts w:ascii="Arial" w:hAnsi="Arial" w:eastAsia="Arial" w:cs="Arial"/>
          <w:i/>
          <w:iCs/>
          <w:color w:val="000000"/>
          <w:sz w:val="20"/>
          <w:szCs w:val="20"/>
        </w:rPr>
        <w:t xml:space="preserve">Würth</w:t>
      </w:r>
      <w:r>
        <w:rPr>
          <w:rFonts w:ascii="Arial" w:hAnsi="Arial" w:eastAsia="Arial" w:cs="Arial"/>
          <w:color w:val="000000"/>
          <w:sz w:val="20"/>
          <w:szCs w:val="20"/>
        </w:rPr>
        <w:t xml:space="preserve">) können diese
Kosten nicht mehr auf den Mieter überwälzt werden.</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Im Vollanwendungsbereich des MRG sind solche Forderungen gegenüber
dem Mieter verboten und ungültig, da diese Kosten zur ordentlichen
Verwaltung des Hauses (§ 22 MRG) gehören und vom Mieter durch
die Zahlung der Betriebskosten abgegolten sind.</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Seit 11.11.2017 entfällt durch die Novelle BGBl I
Nr 147/2017 die Gebühr für Mietverträge über Wohnraum, die ab
dem 11. November 2017 abgeschlossen werden. Für Mieter fallen somit
keine Kosten für die Vergebührung des Vertrages an.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12. Schlüssel</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Aushändigung der Schlüssel</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Vermieter übergibt dem Mieter anlässlich des
Vertragsabschlusses einen Satz Schlüssel, nämlich einen
Wohnungsschlüssel, einen Kellerschlüssel, einen
Briefkastenschlüssel und einen Haustorschlüssel.</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Verlust eines Schlüssels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Bei Verlust eines Schlüssels hat der Mieter den Vermieter
unverzüglich davon zu verständigen.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 Übergabe der Schlüssel ist auch heutzutage noch persönlich
durchzuführen, wenn nichts anderes vereinbart wurde. Es ist weder
ausreichend, den Schlüssel in den Briefkasten des Vermieters zu
werfen, noch kann diese Handlung durch eine Übersendung per Post
erfolgen. Die Rechtsprechungslinie ist nicht eindeutig.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Sowohl der Mieter als auch der Vermieter können sich bei der
Schlüsselübergabe vertreten lassen. Jedoch muss die Ermächtigung
dazu nachgewiesen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Bei der Rückstellung der Wohnung an den Vermieter muss der Mieter
zudem dem Vermieter alle Schlüssel zurückgeben, auch jene, die er
selbst angefertigt hat. Solange die Schlüssel im Besitz der Mieter
sind, fallen auch über die Mietdauer hinaus Mieten an.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Bei verloren gegangenen Schlüsseln muss der Vermieter unverzüglich
verständigt werden, insbesondere wenn es sich um spezielle
General-Sicherheitsschlüssel handelt. In diesem Fall hat der
Vermieter auch bei aufrechtem Mietverhältnis ein rechtliches
Interesse an dieser Information.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Eine Mietvertragsklausel, dass bei Verlust eines Schlüssels
sämtliche Kosten für die Neuanschaffung durch den Mieter zu tragen
sind, dies völlig unabhängig von seinem Verschulden, ist unwirksam.
Schadenersatzansprüche sind immer nur dann durchsetzbar, wenn auch
ein Verschulden vorliegt. Dies kann aber auch schon vorliegen, wenn
man ein besonders sorgloses Verhalten an den Tag legt.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Verweigert der Vermieter allerdings die Übernahme des Mietobjekts,
obwohl der Mieter am vereinbarten Ort die Schlüssel übergeben will,
dann befindet sich der Vermieter im so genannten Annahmeverzug. In
diesem Fall besteht die Möglichkeit, bei Gericht einen so genannten
„Hinterlegungsantrag“ zu stellen und eine andere Person zum
Verwahrer zu erklären.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13. Nebenabreden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13.1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Schriftform</w:t>
            </w:r>
            <w:r>
              <w:rPr>
                <w:rFonts w:ascii="Arial" w:hAnsi="Arial" w:eastAsia="Arial" w:cs="Arial"/>
                <w:color w:val="000000"/>
                <w:position w:val="0"/>
                <w:sz w:val="20"/>
                <w:szCs w:val="20"/>
                <w:shd w:val="clear" w:color="auto" w:fill="FFFFFF"/>
              </w:rPr>
              <w:br/>
              <w:t xml:space="preserve">Die Vertragsteile erklären übereinstimmend, dass mit Ausnahme
dieses Vertrages keine weiteren Abreden bestehen. Sie versprechen
einander überdies, künftige Abänderungen dieses Vertrages
ausschließlich der Schriftform vorzubehalten.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pacing w:before="0" w:after="0" w:line="240" w:lineRule="auto"/>
              <w:ind w:left="0" w:right="0"/>
              <w:jc w:val="left"/>
            </w:pPr>
            <w:r>
              <w:rPr>
                <w:rFonts w:ascii="Arial" w:hAnsi="Arial" w:eastAsia="Arial" w:cs="Arial"/>
                <w:color w:val="363A40"/>
                <w:position w:val="0"/>
                <w:sz w:val="20"/>
                <w:szCs w:val="20"/>
                <w:shd w:val="clear" w:color="auto" w:fill="FFFFFF"/>
              </w:rPr>
              <w:t xml:space="preserve">13.2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Salvatorische Klausel</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Sollten einzelne Bestimmungen dieses Vertrages unwirksam werden,
so bleibt die Wirksamkeit der übrigen Bestimmungen unberührt.
Anstelle der unwirksamen Bestimmungen gilt eine wirksame Bestimmung
als vereinbart, die dem wirtschaftlichen Zweck der unwirksamen
Bestimmung möglichst nahekommt.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 salvatorische Klausel im Mietvertrag ist in Österreich
gesetzlich nicht vorgesehen, wird jedoch empfohlen, um
Unsicherheiten zu vermeiden.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Eine salvatorische Klausel sollte klar und eindeutig formuliert
sein und sicherstellen, dass die übrigen Bestimmungen des
Mietvertrags unberührt bleiben, auch wenn einzelne Klauseln
unwirksam sind.</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14. Vertragsausfertigungen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14.1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Vertragsausfertigung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Dieser Vertrag wird in zwei Ausfertigungen errichtet, von
welchen je eine für die Vertragspartner bestimmt ist.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Variante 1:</w:t>
            </w:r>
            <w:r>
              <w:rPr>
                <w:rFonts w:ascii="Arial" w:hAnsi="Arial" w:eastAsia="Arial" w:cs="Arial"/>
                <w:color w:val="000000"/>
                <w:position w:val="0"/>
                <w:sz w:val="20"/>
                <w:szCs w:val="20"/>
                <w:shd w:val="clear" w:color="auto" w:fill="FFFFFF"/>
              </w:rPr>
              <w:br/>
              <w:t xml:space="preserve">Der zwischen den Vertragsparteien abgeschlossene Vertrag wird
zweifach ausgefertigt. Jeder Vertragspartner erhält ein Exemplar.
Mit der Unterzeichnung des Vertrages werden gleichzeitig die dem
Vertrag beigefügten Anlagen anerkannt.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Variante 2:</w:t>
            </w:r>
            <w:r>
              <w:rPr>
                <w:rFonts w:ascii="Arial" w:hAnsi="Arial" w:eastAsia="Arial" w:cs="Arial"/>
                <w:color w:val="000000"/>
                <w:position w:val="0"/>
                <w:sz w:val="20"/>
                <w:szCs w:val="20"/>
                <w:shd w:val="clear" w:color="auto" w:fill="FFFFFF"/>
              </w:rPr>
              <w:br/>
              <w:t xml:space="preserve">Dieser Vertrag wird in zwei gleichlautenden Ausfertigungen
unterzeichnet. Jeder Vertragspartei erhält eine Ausfertigung.</w:t>
            </w:r>
          </w:p>
        </w:tc>
      </w:tr>
    </w:tbl>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844891">
    <w:multiLevelType w:val="hybridMultilevel"/>
    <w:lvl w:ilvl="0" w:tplc="12463855">
      <w:start w:val="1"/>
      <w:numFmt w:val="decimal"/>
      <w:lvlText w:val="%1."/>
      <w:lvlJc w:val="left"/>
      <w:pPr>
        <w:ind w:left="720" w:hanging="360"/>
      </w:pPr>
    </w:lvl>
    <w:lvl w:ilvl="1" w:tplc="12463855" w:tentative="1">
      <w:start w:val="1"/>
      <w:numFmt w:val="lowerLetter"/>
      <w:lvlText w:val="%2."/>
      <w:lvlJc w:val="left"/>
      <w:pPr>
        <w:ind w:left="1440" w:hanging="360"/>
      </w:pPr>
    </w:lvl>
    <w:lvl w:ilvl="2" w:tplc="12463855" w:tentative="1">
      <w:start w:val="1"/>
      <w:numFmt w:val="lowerRoman"/>
      <w:lvlText w:val="%3."/>
      <w:lvlJc w:val="right"/>
      <w:pPr>
        <w:ind w:left="2160" w:hanging="180"/>
      </w:pPr>
    </w:lvl>
    <w:lvl w:ilvl="3" w:tplc="12463855" w:tentative="1">
      <w:start w:val="1"/>
      <w:numFmt w:val="decimal"/>
      <w:lvlText w:val="%4."/>
      <w:lvlJc w:val="left"/>
      <w:pPr>
        <w:ind w:left="2880" w:hanging="360"/>
      </w:pPr>
    </w:lvl>
    <w:lvl w:ilvl="4" w:tplc="12463855" w:tentative="1">
      <w:start w:val="1"/>
      <w:numFmt w:val="lowerLetter"/>
      <w:lvlText w:val="%5."/>
      <w:lvlJc w:val="left"/>
      <w:pPr>
        <w:ind w:left="3600" w:hanging="360"/>
      </w:pPr>
    </w:lvl>
    <w:lvl w:ilvl="5" w:tplc="12463855" w:tentative="1">
      <w:start w:val="1"/>
      <w:numFmt w:val="lowerRoman"/>
      <w:lvlText w:val="%6."/>
      <w:lvlJc w:val="right"/>
      <w:pPr>
        <w:ind w:left="4320" w:hanging="180"/>
      </w:pPr>
    </w:lvl>
    <w:lvl w:ilvl="6" w:tplc="12463855" w:tentative="1">
      <w:start w:val="1"/>
      <w:numFmt w:val="decimal"/>
      <w:lvlText w:val="%7."/>
      <w:lvlJc w:val="left"/>
      <w:pPr>
        <w:ind w:left="5040" w:hanging="360"/>
      </w:pPr>
    </w:lvl>
    <w:lvl w:ilvl="7" w:tplc="12463855" w:tentative="1">
      <w:start w:val="1"/>
      <w:numFmt w:val="lowerLetter"/>
      <w:lvlText w:val="%8."/>
      <w:lvlJc w:val="left"/>
      <w:pPr>
        <w:ind w:left="5760" w:hanging="360"/>
      </w:pPr>
    </w:lvl>
    <w:lvl w:ilvl="8" w:tplc="12463855" w:tentative="1">
      <w:start w:val="1"/>
      <w:numFmt w:val="lowerRoman"/>
      <w:lvlText w:val="%9."/>
      <w:lvlJc w:val="right"/>
      <w:pPr>
        <w:ind w:left="6480" w:hanging="180"/>
      </w:pPr>
    </w:lvl>
  </w:abstractNum>
  <w:abstractNum w:abstractNumId="86844890">
    <w:multiLevelType w:val="hybridMultilevel"/>
    <w:lvl w:ilvl="0" w:tplc="158208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844890">
    <w:abstractNumId w:val="86844890"/>
  </w:num>
  <w:num w:numId="86844891">
    <w:abstractNumId w:val="8684489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720347603" Type="http://schemas.openxmlformats.org/officeDocument/2006/relationships/numbering" Target="numbering.xml"/><Relationship Id="rId985279086"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