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328249" w:name="document"/>
    <w:bookmarkEnd w:id="2328249"/>
    <w:p/>
    <w:p>
      <w:pPr>
        <w:widowControl w:val="on"/>
        <w:pBdr/>
        <w:spacing w:before="0" w:after="280" w:line="240" w:lineRule="auto"/>
        <w:ind w:left="0" w:right="0"/>
        <w:jc w:val="left"/>
      </w:pPr>
      <w:r>
        <w:rPr>
          <w:rFonts w:ascii="Arial" w:hAnsi="Arial" w:eastAsia="Arial" w:cs="Arial"/>
          <w:color w:val="363A40"/>
          <w:sz w:val="24"/>
          <w:szCs w:val="24"/>
        </w:rPr>
        <w:t xml:space="preserve">Dokument-ID: 589077 | Markus Bulgarini - FORUM
Media (red) - Karin Zahiragic | Muster | Vertragsmuster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Kompromiss-Mietvertrag für eine Wohnung (Kategorie A, B oder C
ab 1994) – bei Nichtanwendbarkeit des KSchG</w:t>
      </w:r>
    </w:p>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Bei Nichtanwendbarkeit des KSchG, Berücksichtigung des 5. MILG</w:t>
      </w:r>
    </w:p>
    <w:p>
      <w:pPr>
        <w:widowControl w:val="on"/>
        <w:pBdr/>
        <w:spacing w:before="240" w:after="60" w:line="346" w:lineRule="auto"/>
        <w:ind w:left="0" w:right="0"/>
        <w:jc w:val="center"/>
        <w:outlineLvl w:val="1"/>
      </w:pPr>
      <w:r>
        <w:rPr>
          <w:rFonts w:ascii="Arial" w:hAnsi="Arial" w:eastAsia="Arial" w:cs="Arial"/>
          <w:color w:val="363A40"/>
          <w:sz w:val="28"/>
          <w:szCs w:val="28"/>
        </w:rPr>
        <w:t xml:space="preserve">Mietvertrag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untenstehenden Tag zwischen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[Vor- und Zuname, akad Titel, geboren am, Beruf,</w:t>
            </w:r>
            <w:r>
              <w:rPr>
                <w:rFonts w:ascii="Arial" w:hAnsi="Arial" w:eastAsia="Arial" w:cs="Arial"/>
                <w:color w:val="000000"/>
                <w:position w:val="0"/>
                <w:sz w:val="20"/>
                <w:szCs w:val="20"/>
                <w:shd w:val="clear" w:color="auto" w:fill="FFFFFF"/>
              </w:rPr>
              <w:br/>
              <w:t xml:space="preserve">Adresse (bisheriger gewöhnlicher Aufenthalt)]</w:t>
            </w:r>
          </w:p>
        </w:tc>
      </w:tr>
    </w:tbl>
    <w:p>
      <w:pPr>
        <w:widowControl w:val="on"/>
        <w:pBdr/>
        <w:spacing w:before="140" w:after="240" w:line="288" w:lineRule="auto"/>
        <w:ind w:left="0" w:right="0"/>
        <w:jc w:val="left"/>
      </w:pPr>
      <w:r>
        <w:rPr>
          <w:rFonts w:ascii="Arial" w:hAnsi="Arial" w:eastAsia="Arial" w:cs="Arial"/>
          <w:color w:val="000000"/>
          <w:sz w:val="20"/>
          <w:szCs w:val="20"/>
        </w:rPr>
        <w:t xml:space="preserve">im Folgenden kurz „Mieter“ genannt, einerseits und</w:t>
      </w:r>
    </w:p>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Das Geburtsdatum des Mieters kann bei einer späteren
Forderungsexekution auf Dienstbezüge sehr dienlich sein, auch für
Meldeanfragen bezüglich verschwundener Mieter wird das Geburtsdatum
benötigt. Der bisherige gewöhnliche Aufenthalt kann auch zu
Nachforschungszwecken dienlich sein.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[Vor- und Zuname, akad Titel, geboren am, Beruf, Adresse]</w:t>
            </w:r>
          </w:p>
        </w:tc>
      </w:tr>
    </w:tbl>
    <w:p>
      <w:pPr>
        <w:widowControl w:val="on"/>
        <w:pBdr/>
        <w:spacing w:before="140" w:after="240" w:line="288" w:lineRule="auto"/>
        <w:ind w:left="0" w:right="0"/>
        <w:jc w:val="left"/>
      </w:pPr>
      <w:r>
        <w:rPr>
          <w:rFonts w:ascii="Arial" w:hAnsi="Arial" w:eastAsia="Arial" w:cs="Arial"/>
          <w:color w:val="000000"/>
          <w:sz w:val="20"/>
          <w:szCs w:val="20"/>
        </w:rPr>
        <w:t xml:space="preserve">im Folgenden kurz „Vermieter“ genannt, andererseits wie
folgt:</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1. Mietgegenstand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Beschreibung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Mietgegenstand ist die Wohnung Tür/Top/Stiege im Haus … [genaue
Anschrift]. Die Nutzfläche dieser Wohnung beträgt … [Angabe der
Quadratmeterzahl] m².</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Einvernehmlich wird festgestellt, dass im Mietgegenstand ein
Anschluss für Telefon/Satellitenfernsehen/Internet vorhanden ist,
der vom Mieter verwendet werden kann. Vermietet ist nur der
Innenraum des Mietgegenstands der Ausstattungskategorie …,
bestehend aus … [genaue Beschreibung des Mietobjekts].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Richtwertmietzins gelangt nur bei der Vermietung von Wohnungen
der Ausstattungskategorie A, B und C zur Anwendung. Der Mieter
mietet nun diesen Mietgegenstand zu den Bedingungen dieses
Mietvertrages.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folgende Gemeinschaftsanlagen
mitzubenutzen: (Lift, Waschküche, etc).</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Eignung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hat sich durch eingehende Besichtigung des
Mietgegenstands davon überzeugt und erklärt, dass der
Mietgegenstand für den beabsichtigten Mietzweck geeignet ist und
sich in einem guten baulichen Zustand befindet. Die Beschaffung
allfälliger verwaltungsbehördlicher Bewilligungen für diese Nutzung
obliegt dem Mieter, dem im Fall ihrer Nichterlangung keine wie
immer gearteten Ansprüche gegen den Vermieter zustehen.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übernimmt den Mietgegenstand in Hauptmiete. Das
Mietverhältnis unterliegt dem Vollanwendungsbereich des
Mietrechtsgesetzes (MRG).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Mietgegenstand darf ausschließlich zu Wohnzwecken verwendet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Unter „Wohnzwecke“ sind auch solche beruflichen Tätigkeiten zu
verstehen, die üblicherweise in Wohnungen ausgeübt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Rechtsprechung des Obersten Gerichtshofs ist die
vertragliche Einschränkung auf Vermietung zu Wohnzwecken – als
Abgrenzung zu Geschäftszwecken verstanden – grundsätzlich zulässig
(9 Ob 4/23p).</w:t>
            </w:r>
          </w:p>
        </w:tc>
      </w:tr>
    </w:tbl>
    <w:p>
      <w:pPr>
        <w:widowControl w:val="on"/>
        <w:pBdr/>
        <w:spacing w:before="200" w:after="200" w:line="300" w:lineRule="auto"/>
        <w:ind w:left="0" w:right="0"/>
        <w:jc w:val="center"/>
        <w:outlineLvl w:val="2"/>
      </w:pPr>
      <w:r>
        <w:rPr>
          <w:rFonts w:ascii="Arial" w:hAnsi="Arial" w:eastAsia="Arial" w:cs="Arial"/>
          <w:color w:val="363A40"/>
          <w:sz w:val="22"/>
          <w:szCs w:val="22"/>
        </w:rPr>
        <w:t xml:space="preserve">2. Mietdauer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Vertragsdauer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Mietverhältnis beginnt am … [Datum] und wird auf drei Jahre
abgeschlossen. Es endet daher, ohne dass es einer Aufkündigung
bedarf, am … [Datum].</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Rahmen des 5. MILG wurde beschlossen, dass für Mietverhältnisse
ab 01.01.2026 die Befristung bei Wohnungsmietverträgen mindestens 5
Jahre betragen muss. Befristungen mit einer kürzeren Laufzeit sind
unzulässig und führen zum Wegfall der Befristungsklausel und damit
zu einem unbefristeten Mietvertrag, der nur bei Vorliegen wichtiger
Gründe gekündigt werden kann. Für Vermieter, die im Zeitpunkt des
Vertragsabschlusses keine Unternehmer im Sinne des
Konsumentenschutzgesetzes (kurz: KSchG) sind, gilt weiterhin die
Mindestbefristung von 3 Jahren. Ausgenommen von der
Mindestbefristung sind lediglich Wohnungen, für die das
Mietrechtsgesetz (kurz: MRG) keine Geltung hat (zB Ein- und
Zweifamilienhäuser).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Beim gegenständlichen Mustermietvertrag findet das KSchG keine
Anwendung, sodass davon ausgegangen werden kann, dass der Vermieter
Verbraucher ist. Es gilt daher weiterhin die Mindestbefristung von
3 Jahren.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Kündigung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Mietverhältnis kann vom Mieter nach Ablauf einer einjährigen
Vertragsdauer unter Einhaltung einer dreimonatigen Kündigungsfrist
vor Ablauf der bedungenen Zeit zum Monatsletzten schriftlich oder
gerichtlich aufgekündigt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Mietverträge auf bestimmte Zeit, die nach Ablauf der wirksam
vereinbarten oder verlängerten Vertragsdauer weder vertraglich
verlängert noch aufgelöst werden, gelten einmalig als auf drei
Jahre oder, sofern der Vermieter ein Unternehmer im Sinne des KSchG
ist, als auf fünf Jahre erneuert. Der Mieter hat jedoch jederzeit
das unverzichtbare und unbeschränkbare Recht, den erneuerten
Mietvertrag jeweils zum Monatsletzten gerichtlich oder schriftlich
unter Einhaltung einer dreimonatigen Kündigungsfrist zu kündigen.
Wird der Mietvertrag nach Ablauf dieser drei oder fünf Jahre ein
weiteres Mal nicht aufgelöst, gilt er als auf unbestimmte Zeit
erneuert (§ 29 Abs 3 lit b MRG).</w:t>
            </w:r>
          </w:p>
        </w:tc>
      </w:tr>
    </w:tbl>
    <w:p>
      <w:pPr>
        <w:widowControl w:val="on"/>
        <w:pBdr/>
        <w:spacing w:before="200" w:after="200" w:line="300" w:lineRule="auto"/>
        <w:ind w:left="0" w:right="0"/>
        <w:jc w:val="center"/>
        <w:outlineLvl w:val="2"/>
      </w:pPr>
      <w:r>
        <w:rPr>
          <w:rFonts w:ascii="Arial" w:hAnsi="Arial" w:eastAsia="Arial" w:cs="Arial"/>
          <w:color w:val="363A40"/>
          <w:sz w:val="22"/>
          <w:szCs w:val="22"/>
        </w:rPr>
        <w:t xml:space="preserve">3. Mietzins</w:t>
      </w:r>
    </w:p>
    <w:p>
      <w:pPr>
        <w:widowControl w:val="on"/>
        <w:pBdr/>
        <w:spacing w:before="140" w:after="240" w:line="288" w:lineRule="auto"/>
        <w:ind w:left="0" w:right="0"/>
        <w:jc w:val="left"/>
      </w:pPr>
      <w:r>
        <w:rPr>
          <w:rFonts w:ascii="Arial" w:hAnsi="Arial" w:eastAsia="Arial" w:cs="Arial"/>
          <w:color w:val="000000"/>
          <w:sz w:val="20"/>
          <w:szCs w:val="20"/>
        </w:rPr>
        <w:t xml:space="preserve">Vorbemerkung 1:</w:t>
      </w:r>
      <w:r>
        <w:rPr>
          <w:rFonts w:ascii="Arial" w:hAnsi="Arial" w:eastAsia="Arial" w:cs="Arial"/>
          <w:color w:val="000000"/>
          <w:sz w:val="20"/>
          <w:szCs w:val="20"/>
        </w:rPr>
        <w:br/>
        <w:t xml:space="preserve">Der Richtwertmietzins ist ein angemessener Hauptmietzins,
allerdings mit einem feststehenden Ausgangswert, dem Richtwert.
Dieser Richtwert wurde pro Bundesland für die mietrechtliche
Normwohnung (§ 2 RichtWG) festgelegt.</w:t>
      </w:r>
    </w:p>
    <w:p>
      <w:pPr>
        <w:widowControl w:val="on"/>
        <w:pBdr/>
        <w:spacing w:before="140" w:after="240" w:line="288" w:lineRule="auto"/>
        <w:ind w:left="0" w:right="0"/>
        <w:jc w:val="left"/>
      </w:pPr>
      <w:r>
        <w:rPr>
          <w:rFonts w:ascii="Arial" w:hAnsi="Arial" w:eastAsia="Arial" w:cs="Arial"/>
          <w:color w:val="000000"/>
          <w:sz w:val="20"/>
          <w:szCs w:val="20"/>
        </w:rPr>
        <w:t xml:space="preserve">Nach § 2 Abs 1 RichtWG ist unter einer
„mietrechtlichen Normwohnung“ eine Wohnung mit einer Nutzfläche
zwischen 30 m</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und 130 m</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in brauchbarem
Zustand, die aus Zimmer, Küche (Kochnische), Vorraum, Klosett und
einer dem zeitgemäßen Standard entsprechenden Badegelegenheit
(Baderaum oder Badenische) besteht, über eine Etagenheizung oder
eine gleichwertige stationäre Heizung verfügt und in einem
</w:t>
      </w:r>
      <w:r>
        <w:rPr>
          <w:rFonts w:ascii="Arial" w:hAnsi="Arial" w:eastAsia="Arial" w:cs="Arial"/>
          <w:color w:val="000000"/>
          <w:sz w:val="20"/>
          <w:szCs w:val="20"/>
        </w:rPr>
        <w:t xml:space="preserve">Gebäude mit ordnungsgemäßem Erhaltungszustand</w:t>
      </w:r>
      <w:r>
        <w:rPr>
          <w:rFonts w:ascii="Arial" w:hAnsi="Arial" w:eastAsia="Arial" w:cs="Arial"/>
          <w:color w:val="000000"/>
          <w:sz w:val="20"/>
          <w:szCs w:val="20"/>
        </w:rPr>
        <w:t xml:space="preserve"> auf
einer Liegenschaft </w:t>
      </w:r>
      <w:r>
        <w:rPr>
          <w:rFonts w:ascii="Arial" w:hAnsi="Arial" w:eastAsia="Arial" w:cs="Arial"/>
          <w:color w:val="000000"/>
          <w:sz w:val="20"/>
          <w:szCs w:val="20"/>
        </w:rPr>
        <w:t xml:space="preserve">mit durchschnittlicher Lage
(Wohnumgebung)</w:t>
      </w:r>
      <w:r>
        <w:rPr>
          <w:rFonts w:ascii="Arial" w:hAnsi="Arial" w:eastAsia="Arial" w:cs="Arial"/>
          <w:color w:val="000000"/>
          <w:sz w:val="20"/>
          <w:szCs w:val="20"/>
        </w:rPr>
        <w:t xml:space="preserve"> gelegen ist, zu verstehen. Ordnungsgemäß
ist der Erhaltungszustand des Gebäudes jedenfalls dann nicht, wenn
im Zeitpunkt der Vermietung Erhaltungsarbeiten iSd § 3
Abs 3 Z 2 MRG anstehen. Die durchschnittliche Lage
(Wohnumgebung) ist nach der allgemeinen Verkehrsauffassung und
Erfahrung des täglichen Lebens zu beurteilen, wobei eine Lage
(Wohnumgebung) mit einem überwiegenden Gebäudezustand, der in der
Zeit von 1870 bis 1917 errichtet wurde und im Zeitpunkt der
Errichtung überwiegend kleine, mangelhaft ausgestattete Wohnungen
(Wohnungen der Ausstattungskategorie D) aufgewiesen hat, höchstens
als durchschnittlich einzustufen ist.</w:t>
      </w:r>
    </w:p>
    <w:p>
      <w:pPr>
        <w:widowControl w:val="on"/>
        <w:pBdr/>
        <w:spacing w:before="140" w:after="240" w:line="288" w:lineRule="auto"/>
        <w:ind w:left="0" w:right="0"/>
        <w:jc w:val="left"/>
      </w:pPr>
      <w:r>
        <w:rPr>
          <w:rFonts w:ascii="Arial" w:hAnsi="Arial" w:eastAsia="Arial" w:cs="Arial"/>
          <w:color w:val="000000"/>
          <w:sz w:val="20"/>
          <w:szCs w:val="20"/>
        </w:rPr>
        <w:t xml:space="preserve">Zur Ermittlung des Richtwertmietzinses wird dieser Richtwert mit
Zu- und Abschlägen versehen.</w:t>
      </w:r>
      <w:r>
        <w:rPr>
          <w:rFonts w:ascii="Arial" w:hAnsi="Arial" w:eastAsia="Arial" w:cs="Arial"/>
          <w:color w:val="000000"/>
          <w:sz w:val="20"/>
          <w:szCs w:val="20"/>
        </w:rPr>
        <w:br/>
        <w:t xml:space="preserve">Der Richtwertmietzins ist nach oben hin begrenzt durch die
Angemessenheit iSd § 16 Abs 1 MRG und nach unten durch
die Kategoriesätze des § 15a Abs 3 MRG. Ebenso findet
§ 16 Abs 2 MRG Anwendung. Der Richtwertmietzins kann
daher immer nur über dem Kategoriemietzins und unter dem
angemessenen Mietzins für eine vergleichbare Wohnung liegen
(MietSlg 47.267).</w:t>
      </w:r>
    </w:p>
    <w:p>
      <w:pPr>
        <w:widowControl w:val="on"/>
        <w:pBdr/>
        <w:spacing w:before="140" w:after="240" w:line="288" w:lineRule="auto"/>
        <w:ind w:left="0" w:right="0"/>
        <w:jc w:val="left"/>
      </w:pPr>
      <w:r>
        <w:rPr>
          <w:rFonts w:ascii="Arial" w:hAnsi="Arial" w:eastAsia="Arial" w:cs="Arial"/>
          <w:color w:val="000000"/>
          <w:sz w:val="20"/>
          <w:szCs w:val="20"/>
        </w:rPr>
        <w:t xml:space="preserve">Im Vollanwendungsbereich des MRG wird ein Richtwertmietzins
vereinbart für:</w:t>
      </w:r>
    </w:p>
    <w:p>
      <w:pPr>
        <w:numPr>
          <w:ilvl w:val="0"/>
          <w:numId w:val="5441954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Vermietung von Wohnungen der Kategorie A, B oder C ab dem
01.03.1994 und das Gebäude, in dem sich die Wohnung befindet, wurde
vor dem 09.05.1945 geschaffen. Die Vereinbarung eines freien oder
angemessenen Mietzinses ist aber nicht zulässig.</w:t>
      </w:r>
    </w:p>
    <w:p>
      <w:pPr>
        <w:numPr>
          <w:ilvl w:val="0"/>
          <w:numId w:val="5441954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Abtretung von Mietrechten oder bei Eintritt im Todesfall
jedoch mit betraglichen Obergrenzen</w:t>
      </w:r>
    </w:p>
    <w:p>
      <w:pPr>
        <w:widowControl w:val="on"/>
        <w:pBdr/>
        <w:spacing w:before="140" w:after="240" w:line="288" w:lineRule="auto"/>
        <w:ind w:left="0" w:right="0"/>
        <w:jc w:val="left"/>
      </w:pPr>
      <w:r>
        <w:rPr>
          <w:rFonts w:ascii="Arial" w:hAnsi="Arial" w:eastAsia="Arial" w:cs="Arial"/>
          <w:color w:val="000000"/>
          <w:sz w:val="20"/>
          <w:szCs w:val="20"/>
        </w:rPr>
        <w:t xml:space="preserve">Vorbemerkung 2:</w:t>
      </w:r>
      <w:r>
        <w:rPr>
          <w:rFonts w:ascii="Arial" w:hAnsi="Arial" w:eastAsia="Arial" w:cs="Arial"/>
          <w:color w:val="000000"/>
          <w:sz w:val="20"/>
          <w:szCs w:val="20"/>
        </w:rPr>
        <w:br/>
        <w:t xml:space="preserve">§ 16 Abs 2 MRG zählt die Kriterien für Zu- und Abschläge
des Richtwertmietzinses auf:</w:t>
      </w:r>
    </w:p>
    <w:p>
      <w:pPr>
        <w:numPr>
          <w:ilvl w:val="0"/>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Zweckbestimmung der Wohnung, ihre Stockwerkslage, ihre Lage
innerhalb eines Stockwerks, ihre über oder unter dem Durchschnitt
liegende Ausstattung mit anderen Teilen der Liegenschaft,
beispielsweise mit Balkonen, Terrassen, Keller- oder
Dachbodenräumen, Hausgärten oder Abstellplätzen, ihre sonstige
Ausstattung oder Grundrissgestaltung, eine gegenüber der
mietrechtlichen Normwohnung bessere Ausstattung oder
Grundrissgestaltung jedoch nur, wenn sie nicht allein auf Kosten
des Hauptmieters vorgenommen wurde</w:t>
      </w:r>
      <w:r>
        <w:rPr>
          <w:rFonts w:ascii="Arial" w:hAnsi="Arial" w:eastAsia="Arial" w:cs="Arial"/>
          <w:color w:val="000000"/>
          <w:sz w:val="20"/>
          <w:szCs w:val="20"/>
        </w:rPr>
        <w:br/>
        <w:t xml:space="preserve">Hinweis:</w:t>
      </w:r>
      <w:r>
        <w:rPr>
          <w:rFonts w:ascii="Arial" w:hAnsi="Arial" w:eastAsia="Arial" w:cs="Arial"/>
          <w:color w:val="000000"/>
          <w:sz w:val="20"/>
          <w:szCs w:val="20"/>
        </w:rPr>
        <w:br/>
        <w:t xml:space="preserve">Der OGH (5 Ob 208/10i) billigt folgende Zu- und Abschläge vom
Richtwert:
</w:t>
      </w:r>
    </w:p>
    <w:p>
      <w:pPr>
        <w:numPr>
          <w:ilvl w:val="1"/>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3 % Zuschlag für das Badezimmer</w:t>
      </w:r>
    </w:p>
    <w:p>
      <w:pPr>
        <w:numPr>
          <w:ilvl w:val="1"/>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3 % Zuschlag für die Parkettböden in fast allen
Räumen</w:t>
      </w:r>
    </w:p>
    <w:p>
      <w:pPr>
        <w:numPr>
          <w:ilvl w:val="1"/>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2 % Zuschlag für die Anschlussmöglichkeit von
Geschirrspüler und Waschmaschine</w:t>
      </w:r>
    </w:p>
    <w:p>
      <w:pPr>
        <w:numPr>
          <w:ilvl w:val="1"/>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3 % Zuschlag für die Begehung sämtlicher Räume vom Vorraum
aus</w:t>
      </w:r>
    </w:p>
    <w:p>
      <w:pPr>
        <w:numPr>
          <w:ilvl w:val="1"/>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5 % Zuschlag für die unverbaute Lage mit sehr schöner
Aussicht aus den Zimmern</w:t>
      </w:r>
    </w:p>
    <w:p>
      <w:pPr>
        <w:numPr>
          <w:ilvl w:val="1"/>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8 % Zuschlag für die besondere Ausgestaltung mit freien
Balkonen von ca 30 m </w:t>
      </w:r>
      <w:r>
        <w:rPr>
          <w:rFonts w:ascii="Arial" w:hAnsi="Arial" w:eastAsia="Arial" w:cs="Arial"/>
          <w:color w:val="000000"/>
          <w:position w:val="3"/>
          <w:sz w:val="18"/>
          <w:szCs w:val="18"/>
          <w:vertAlign w:val="superscript"/>
        </w:rPr>
        <w:t xml:space="preserve">2</w:t>
      </w:r>
    </w:p>
    <w:p>
      <w:pPr>
        <w:numPr>
          <w:ilvl w:val="1"/>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5 % Abstrich für die teilweise Ausrichtung zur Straße mit
damit verbundenen Lärmbelästigungen</w:t>
      </w:r>
    </w:p>
    <w:p>
      <w:pPr>
        <w:numPr>
          <w:ilvl w:val="1"/>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3 % Abstrich für die fehlende Dachbodenmitbenützung</w:t>
      </w:r>
    </w:p>
    <w:p>
      <w:pPr>
        <w:numPr>
          <w:ilvl w:val="0"/>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Einen Zuschlag gab es nach der Judikatur für: Gegensprechanlage,
Telefon, Telekabel, zentrales Vorzimmer, Parkettböden, optimalen
Grundriss, Fenster im Badezimmer, Waschmaschinenanschluss, guten
Zustand des Kellers, Heizung, Lift, Antenne, Garage, Kinderwagen-
oder Fahrradabstellraum (MietSlg 54.283, 53.323, 53.322,
50.334).</w:t>
      </w:r>
      <w:r>
        <w:rPr>
          <w:rFonts w:ascii="Arial" w:hAnsi="Arial" w:eastAsia="Arial" w:cs="Arial"/>
          <w:color w:val="000000"/>
          <w:sz w:val="20"/>
          <w:szCs w:val="20"/>
        </w:rPr>
        <w:br/>
        <w:t xml:space="preserve">Hinweis:</w:t>
      </w:r>
      <w:r>
        <w:rPr>
          <w:rFonts w:ascii="Arial" w:hAnsi="Arial" w:eastAsia="Arial" w:cs="Arial"/>
          <w:color w:val="000000"/>
          <w:sz w:val="20"/>
          <w:szCs w:val="20"/>
        </w:rPr>
        <w:br/>
        <w:t xml:space="preserve">Einen Abschlag von 50 % für Kategorie C wurde durch einen
20 %-Zuschlag für jene vorhandene Ausstattung, die der
Kategorie B entspricht, teilweise ausgeglichen. Für das zweite WC
wurde ein Zuschlag von 5 % für angemessen erachtet (5 Ob
86/08w).</w:t>
      </w:r>
      <w:r>
        <w:rPr>
          <w:rFonts w:ascii="Arial" w:hAnsi="Arial" w:eastAsia="Arial" w:cs="Arial"/>
          <w:color w:val="000000"/>
          <w:sz w:val="20"/>
          <w:szCs w:val="20"/>
        </w:rPr>
        <w:br/>
        <w:t xml:space="preserve">Hinweis:</w:t>
      </w:r>
      <w:r>
        <w:rPr>
          <w:rFonts w:ascii="Arial" w:hAnsi="Arial" w:eastAsia="Arial" w:cs="Arial"/>
          <w:color w:val="000000"/>
          <w:sz w:val="20"/>
          <w:szCs w:val="20"/>
        </w:rPr>
        <w:br/>
        <w:t xml:space="preserve">Für die höherwertige Ausstattung einer Küche mit Einbaumöbeln ist
ebenso wenig ein Zuschlag zum Richtwert gerechtfertigt wie für die
Trennung von Bad und WC und die Entlüftung beider Räume ins
Freie.</w:t>
      </w:r>
      <w:r>
        <w:rPr>
          <w:rFonts w:ascii="Arial" w:hAnsi="Arial" w:eastAsia="Arial" w:cs="Arial"/>
          <w:color w:val="000000"/>
          <w:sz w:val="20"/>
          <w:szCs w:val="20"/>
        </w:rPr>
        <w:br/>
        <w:t xml:space="preserve">Hinweis:</w:t>
      </w:r>
      <w:r>
        <w:rPr>
          <w:rFonts w:ascii="Arial" w:hAnsi="Arial" w:eastAsia="Arial" w:cs="Arial"/>
          <w:color w:val="000000"/>
          <w:sz w:val="20"/>
          <w:szCs w:val="20"/>
        </w:rPr>
        <w:br/>
        <w:t xml:space="preserve">Kein Zuschlag für ein Kellerabteil und die Dachbodenmitbenützung
oder wenn ein Lift dauernd unbrauchbar ist
(MietSlg 50.334)</w:t>
      </w:r>
    </w:p>
    <w:p>
      <w:pPr>
        <w:numPr>
          <w:ilvl w:val="0"/>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Ausstattung der Wohnung mit den in § 3 Abs 4
RichtWG angeführten Anlagen (Aufzug, Zentralheizung), Garagen,
Flächen und Räumen, wobei die jeweiligen Zuschläge mit den bei der
Ermittlung des Richtwerts abgezogenen Baukostenanteilen begrenzt
sind</w:t>
      </w:r>
      <w:r>
        <w:rPr>
          <w:rFonts w:ascii="Arial" w:hAnsi="Arial" w:eastAsia="Arial" w:cs="Arial"/>
          <w:color w:val="000000"/>
          <w:sz w:val="20"/>
          <w:szCs w:val="20"/>
        </w:rPr>
        <w:br/>
        <w:t xml:space="preserve">Hinweis:</w:t>
      </w:r>
      <w:r>
        <w:rPr>
          <w:rFonts w:ascii="Arial" w:hAnsi="Arial" w:eastAsia="Arial" w:cs="Arial"/>
          <w:color w:val="000000"/>
          <w:sz w:val="20"/>
          <w:szCs w:val="20"/>
        </w:rPr>
        <w:br/>
        <w:t xml:space="preserve">Das Vorhandensein im Altgebäude üblicherweise fehlender Räume,
Flächen oder Anlagen (etwa Heizung, Lift, Antenne, Garage,
Kinderwagen- oder Fahrradabstellraum) rechtfertigt die Vereinbarung
eines Zuschlags, sofern diese Einrichtungen vom Mieter mitbenützt
werden können und nicht ohnedies ein gesondertes Entgelt für diese
Nebenleistungen vereinbart wird. Solche werterhöhende, nach
Verfügbarkeit nutzbare Anlagen müssen somit den Wohnwert des
konkreten Objektes erhöhen. Verfügt ein Gebäude etwa über Einstell-
oder Abstellplätze, die aber vom Mieter der Wohnung nicht
wenigstens dann benützt werden können, wenn sie gerade frei sind,
so rechtfertigt dies keinen Zuschlag.</w:t>
      </w:r>
    </w:p>
    <w:p>
      <w:pPr>
        <w:numPr>
          <w:ilvl w:val="0"/>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Verpflichtung des Vermieters zur Erhaltung einer
Etagenheizung, die er errichtet oder deren Errichtungskosten er
übernommen hat, durch einen entsprechenden Zuschlag</w:t>
      </w:r>
    </w:p>
    <w:p>
      <w:pPr>
        <w:numPr>
          <w:ilvl w:val="0"/>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Lage (Wohnumgebung) des Hauses</w:t>
      </w:r>
      <w:r>
        <w:rPr>
          <w:rFonts w:ascii="Arial" w:hAnsi="Arial" w:eastAsia="Arial" w:cs="Arial"/>
          <w:color w:val="000000"/>
          <w:sz w:val="20"/>
          <w:szCs w:val="20"/>
        </w:rPr>
        <w:br/>
        <w:t xml:space="preserve">Hinweis:</w:t>
      </w:r>
      <w:r>
        <w:rPr>
          <w:rFonts w:ascii="Arial" w:hAnsi="Arial" w:eastAsia="Arial" w:cs="Arial"/>
          <w:color w:val="000000"/>
          <w:sz w:val="20"/>
          <w:szCs w:val="20"/>
        </w:rPr>
        <w:br/>
        <w:t xml:space="preserve">Der Lagezuschlag beträgt 0,33 vH der Differenz zwischen dem im
Richtwert enthaltenen Grundkostenanteil und dem der Lage des Hauses
entsprechenden Grundkostenanteil je Quadratmeter der Nutzfläche
unter Berücksichtigung der nach der Bauordnung zulässigen
Bebaubarkeit und darf verlangt werden, wenn die Lage
überdurchschnittlich ist.</w:t>
      </w:r>
      <w:r>
        <w:rPr>
          <w:rFonts w:ascii="Arial" w:hAnsi="Arial" w:eastAsia="Arial" w:cs="Arial"/>
          <w:color w:val="000000"/>
          <w:sz w:val="20"/>
          <w:szCs w:val="20"/>
        </w:rPr>
        <w:br/>
        <w:t xml:space="preserve">Hinweis:</w:t>
      </w:r>
      <w:r>
        <w:rPr>
          <w:rFonts w:ascii="Arial" w:hAnsi="Arial" w:eastAsia="Arial" w:cs="Arial"/>
          <w:color w:val="000000"/>
          <w:sz w:val="20"/>
          <w:szCs w:val="20"/>
        </w:rPr>
        <w:br/>
        <w:t xml:space="preserve">Die für den Lagezuschlag maßgebenden Umstände sind dem Mieter in
Schriftform bis spätestens bei Zustandekommen des Mietvertrages
ausdrücklich bekannt gegeben worden. Nach der Judikaturlinie des
OGH zu § 16 Abs 4 MRG reichen im Mietvertrag folgende
Hinweise aus: „ruhige, zentrumsnahe Lage in Innsbruck“, „zentrale
Verkehrslage des Hauses in der Wiener Innenstadt“,
„verkehrsgünstige Lage mit Grünblick“, „insbesondere Lagezuschlag
(Villenviertel, Hausgarten)“, „Grünlage“, „Infrastruktur“,
„Anbindung an das öffentliche Verkehrsnetz“.</w:t>
      </w:r>
    </w:p>
    <w:p>
      <w:pPr>
        <w:numPr>
          <w:ilvl w:val="0"/>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Erhaltungszustand des Gebäudes</w:t>
      </w:r>
      <w:r>
        <w:rPr>
          <w:rFonts w:ascii="Arial" w:hAnsi="Arial" w:eastAsia="Arial" w:cs="Arial"/>
          <w:color w:val="000000"/>
          <w:sz w:val="20"/>
          <w:szCs w:val="20"/>
        </w:rPr>
        <w:br/>
        <w:t xml:space="preserve">Hinweis:</w:t>
      </w:r>
      <w:r>
        <w:rPr>
          <w:rFonts w:ascii="Arial" w:hAnsi="Arial" w:eastAsia="Arial" w:cs="Arial"/>
          <w:color w:val="000000"/>
          <w:sz w:val="20"/>
          <w:szCs w:val="20"/>
        </w:rPr>
        <w:br/>
        <w:t xml:space="preserve">Abblätterungen und Abbröckelungen des Anstriches und Verputzes an
der Fassade im Bereich leerstehender Geschäftslokale sowie Risse
und Verputzabbröckelungen an mehreren Stellen im Bereich des
Innenhofes des Hauses und Feuchtigkeitsschäden im Hausflur
beeinträchtigen wohl das äußere Erscheinungsbild des Gebäudes,
können aber keinen Abschlagsgrund bilden (MitSlg 51.317).</w:t>
      </w:r>
    </w:p>
    <w:p>
      <w:pPr>
        <w:numPr>
          <w:ilvl w:val="0"/>
          <w:numId w:val="6781399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gegenüber der mietrechtlichen Normwohnung niedrigere
Ausstattungskategorie bei einer Wohnung der Ausstattungskategorie B
und bei einer Wohnung der Ausstattungskategorie C durch
entsprechende Abstriche</w:t>
      </w:r>
      <w:r>
        <w:rPr>
          <w:rFonts w:ascii="Arial" w:hAnsi="Arial" w:eastAsia="Arial" w:cs="Arial"/>
          <w:color w:val="000000"/>
          <w:sz w:val="20"/>
          <w:szCs w:val="20"/>
        </w:rPr>
        <w:br/>
        <w:t xml:space="preserve">Hinweis:</w:t>
      </w:r>
      <w:r>
        <w:rPr>
          <w:rFonts w:ascii="Arial" w:hAnsi="Arial" w:eastAsia="Arial" w:cs="Arial"/>
          <w:color w:val="000000"/>
          <w:sz w:val="20"/>
          <w:szCs w:val="20"/>
        </w:rPr>
        <w:br/>
        <w:t xml:space="preserve">Das Landesgericht für Zivilrechtssachen Wien hat einen Abschlag von
25 % vom Richtwert für Kategorie A für eine Wohnung ermittelt,
in der die Küche über eine Warmwasseraufbereitung verfügte, aber
unbeheizt war, das Bad durch die Küche entlüftet wurde und der
Vorraum fehlte (MietSlg 56.297).</w:t>
      </w:r>
    </w:p>
    <w:p>
      <w:pPr>
        <w:widowControl w:val="on"/>
        <w:pBdr/>
        <w:spacing w:before="140" w:after="240" w:line="288" w:lineRule="auto"/>
        <w:ind w:left="0" w:right="0"/>
        <w:jc w:val="left"/>
      </w:pPr>
      <w:r>
        <w:rPr>
          <w:rFonts w:ascii="Arial" w:hAnsi="Arial" w:eastAsia="Arial" w:cs="Arial"/>
          <w:color w:val="000000"/>
          <w:sz w:val="20"/>
          <w:szCs w:val="20"/>
        </w:rPr>
        <w:t xml:space="preserve">Vorbemerkung 3:</w:t>
      </w:r>
      <w:r>
        <w:rPr>
          <w:rFonts w:ascii="Arial" w:hAnsi="Arial" w:eastAsia="Arial" w:cs="Arial"/>
          <w:color w:val="000000"/>
          <w:sz w:val="20"/>
          <w:szCs w:val="20"/>
        </w:rPr>
        <w:br/>
        <w:t xml:space="preserve">Entscheidend zur Berechnung von Ab- und Zuschlägen ist immer der
Zustand der Mietwohnung im Zeitpunkt des Mietvertragsabschlusses.
Spätere Verbesserungen bzw Verschlechterungen des Mietgegenstandes
sind unbeachtlich.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Hauptmietzins errechnet sich aus:</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3.1.1</w:t>
                  </w:r>
                </w:p>
              </w:tc>
              <w:tc>
                <w:tcPr>
                  <w:tcW w:w="0" w:type="auto"/>
                  <w:gridSpan w:val="3"/>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Hauptmietzins von monatlich EUR … [Betrag] und der
jeweiligen gesetzlichen Umsatzsteuer.</w:t>
                  </w:r>
                  <w:r>
                    <w:rPr>
                      <w:rFonts w:ascii="Arial" w:hAnsi="Arial" w:eastAsia="Arial" w:cs="Arial"/>
                      <w:color w:val="000000"/>
                      <w:position w:val="0"/>
                      <w:sz w:val="20"/>
                      <w:szCs w:val="20"/>
                      <w:shd w:val="clear" w:color="auto" w:fill="FFFFFF"/>
                    </w:rPr>
                    <w:br/>
                    <w:t xml:space="preserve">Hinweis:</w:t>
                  </w:r>
                  <w:r>
                    <w:rPr>
                      <w:rFonts w:ascii="Arial" w:hAnsi="Arial" w:eastAsia="Arial" w:cs="Arial"/>
                      <w:color w:val="000000"/>
                      <w:position w:val="0"/>
                      <w:sz w:val="20"/>
                      <w:szCs w:val="20"/>
                      <w:shd w:val="clear" w:color="auto" w:fill="FFFFFF"/>
                    </w:rPr>
                    <w:br/>
                    <w:t xml:space="preserve">Gem § 10 Abs 2 Z 3 lit a UStG beträgt die
Umsatzsteuer für die Vermietung zu Wohnzwecken 10 %, sonst
20 %. Befristungsabschlag: Im vereinbarten Hauptmietzins
(Hauptmietzins, Anteil an Betriebskosten und öffentlichen Abgaben
und an der gesetzlichen Umsatzsteuer) ist der in § 16
Abs 7 MRG vorgesehene Abschlag auf die Befristungsdauer
(25 %) wie folgt berücksichtigt:</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gridCol w:w="1"/>
                  </w:tblGrid>
                  <w:tr>
                    <w:trPr>
                      <w:trHeight w:val="0" w:hRule="atLeast"/>
                    </w:trPr>
                    <w:tc>
                      <w:tcPr>
                        <w:tcW w:w="6195" w:type="dxa"/>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Hauptmietzins ohne Befristung</w:t>
                        </w:r>
                      </w:p>
                    </w:tc>
                    <w:tc>
                      <w:tcPr>
                        <w:tcW w:w="3390" w:type="dxa"/>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6195" w:type="dxa"/>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Abzüglich 25 % Befristungsabschlag</w:t>
                        </w:r>
                      </w:p>
                    </w:tc>
                    <w:tc>
                      <w:tcPr>
                        <w:tcW w:w="3390" w:type="dxa"/>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6195" w:type="dxa"/>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Hauptmietzins im Befristungszeitraum</w:t>
                        </w:r>
                      </w:p>
                    </w:tc>
                    <w:tc>
                      <w:tcPr>
                        <w:tcW w:w="3390" w:type="dxa"/>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bl>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Befristungsabschlag wird lediglich bei befristeten
Mietverhältnissen, die dem Vollanwendungsbereich des MRG
unterliegen, berücksichtigt. Diese Verminderung gilt im Fall der
Umwandlung in einen Mietvertrag auf unbestimmte Zeit ab dem
Umwandlungszeitpunkt nicht mehr.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3.1.2</w:t>
                  </w:r>
                </w:p>
              </w:tc>
              <w:tc>
                <w:tcPr>
                  <w:tcW w:w="0" w:type="auto"/>
                  <w:gridSpan w:val="3"/>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Zwischen den Parteien wird festgehalten, dass der unter Punkt
3.1. angeführte Hauptmietzins nach dem Richtwertgesetz unter
Zugrundelegung des Richtwertmietzinses, sowie Zu- und Abschläge und
eines Lagezuschlages, der sich aus dem Grundkostenanteil im
Vergleich zu der im RichtWG festgesetzten Durchschnittslage ergibt,
berechnet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nimmt ausdrücklich zur Kenntnis, dass aufgrund der
besonderen Lage des Mietobjektes, insbesondere der Ruhelage und der
günstigen Verkehrsanbindungen in (… genau ausführen, warum das so
ist), der vereinbarte Richtwertmietzins (Punkt 3.1) einen
Lagezuschlag zum gesetzlichen Richtwert beinhaltet.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für einen Lagezuschlag maßgebenden Umstände müssen gem
§ 16 Abs 4 MRG dem Mieter spätestens bei
Mietvertragsabschluss bekannt gegeben werden.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Wertsicherungsvereinbarung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Hauptmietzins wird „wertgesichert gem § 1
Abs 2 und Abs 3 MieWeG“ vereinbart.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Hauptmietzins wird nach § 5 Richtwertgesetz
(RichtWG) unter Zugrundelegung des Richtwertmietzinses, sowie Zu-
und Abschläge und eines Lagezuschlags berechnet.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Ausgangsbasis für die Wertsicherung ist der im Zeitpunkt des
Vertragsabschlusses wirksame Richtwert.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aufgrund gesetzlicher Änderungen die Wertsicherung nicht
mehr möglich sein sollte, erfolgt eine solche nach dem von der
Bundesanstalt Statistik Austria monatlich verlautbarten
Verbraucherpreisindex 2020 oder dem an seine Stelle tretenden
Index.</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durch die Wertsicherung eingetretene Erhöhung des Mietzinses
wird dem Mieter vom Vermieter schriftlich bekannt gegeben, dies
spätestens 14 Tage vor dem Zeitraum, zu dem dann der Mieter zur
Bezahlung des erhöhten Betrages verpflichtet ist.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Mit dem 5. MILG ist auch § 5 Abs 2 Richtwertgesetz
geändert worden. Diese Änderung sieht im Wesentlichen vor, dass die
gesetzliche Valorisierung der mietrechtlichen Kategoriebeträge und
der mietrechtlichen Richtwerte mit der Systematik des MieWeG
gleichgeschaltet wird. Dies heißt: Es gibt im Jahr 2026 eine
Anhebungsgrenze von 1 % und im Jahr 2027 eine solche von
2 %. Ab dem Jahr 2028 wird bei einer Vorjahresinflation von
mehr als 3 % der Teil, der 3 % übersteigt, im Rahmen der
Mietzinserhöhung nur zur Hälfte berücksichtigt.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Beispiel:</w:t>
            </w:r>
            <w:r>
              <w:rPr>
                <w:rFonts w:ascii="Arial" w:hAnsi="Arial" w:eastAsia="Arial" w:cs="Arial"/>
                <w:color w:val="000000"/>
                <w:position w:val="0"/>
                <w:sz w:val="20"/>
                <w:szCs w:val="20"/>
                <w:shd w:val="clear" w:color="auto" w:fill="FFFFFF"/>
              </w:rPr>
              <w:br/>
              <w:t xml:space="preserve">Beträgt die Veränderung der mietrechtlichen Rechtwerte 4,6 %,
dürfen nur 3,8 % berücksichtigt werden (3 % + die Hälfte
von 1,6 %= 0 0,8 % = 3,8 %).</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In einem Wohnungsmietvertrag kann gem § 2 MieWeG eine
Wertsicherung auch durch bloße Bezugnahme auf § 1 Abs 2
MieWeG sowie gegebenenfalls auf § 1 Abs 3 MieWeG wirksam
vereinbart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 2 MieWeG gilt auch für Richtwertmietzinse.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Betriebskosten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Neben dem Hauptmietzins hat der Mieter auch den Anteil an den
Betriebskosten in der Höhe von monatlich EUR ..., der
entsprechend dem Nutzflächenschlüssel für diesen Mietgegenstand
derzeit … % beträgt, zu entrichten.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Jeder Mieter hat einen Anteil an den Gesamtkosten entsprechend der
Nutzfläche des von ihm gemieteten Objektes zu zahlen. Der Anteil
richtet sich nach dem Verhältnis der Nutzfläche des gemieteten
Objektes zur Nutzfläche aller Mietobjekte.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Nutzfläche wird nach dem Naturmaß berechnet und ist die
Bodenfläche eines Mietobjektes abzüglich der Wandstärke. Keine
Nutzfläche und daher in die Berechnung nicht einzubeziehen sind
Keller, Dachbodenabteile, Treppen, Balkone und Terrassen. Verändert
sich die Nutzfläche in einem Mietobjekt aufgrund baulicher
Maßnahmen durch den Mieter, wird das bis zur Beendigung des
Mietvertrages nicht berücksichtigt.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Vollanwendungsbereich des MRG dürfen den Mietern folgende Kosten
als Betriebskosten anteilig weiterverrechnet werden: Wasser- und
Abwassergebühren inkl Wartungsgebühren, Kosten der Eichung, Wartung
und Ablesung von Messvorrichtungen zur Verbrauchsermittlung,
Rauchfangkehrerkosten, Kanalräumungskosten, Müllabfuhr,
Schädlingsbekämpfungskosten, Beleuchtungskosten des allgemeinen
Teils des Hauses, Feuerversicherung, Haftpflichtversicherung,
Leitungswasserschädenversicherung, Versicherung gegen Glasbruch und
Sturmschäden, Kosten der Verwaltung, Hausbetreuungskosten (externe
Hausbetreuung oder Hausbesorger nach dem alten
Hausbesorgergesetz).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anteilig anrechenbaren öffentlichen Abgaben sind die von der
Liegenschaft zu entrichtenden laufenden öffentlichen Abgaben mit
Ausnahme solcher, die nach landesgesetzlichen Bestimmungen auf die
Mieter nicht überwälzt werden dürfen. Überwälzbar sind demnach
beispielsweise die Grundsteuer und die aufgrund landesgesetzlicher
Bestimmungen zu entrichtenden laufenden Abgaben, wie etwa die
Gebrauchsabgabe des Landes Wien für die Inanspruchnahme
öffentlichen Luftraumes („Luftsteuer“) oder in der Stadt Innsbruck
die „Gehsteigabgabe“. Nicht überwälzbar ist beispielsweise für
einen von den Mietern nicht benützten Garten.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hat weiters den Anteil für besondere Aufwendungen,
insbesondere für … gemäß obigem Prozentsatz zu entrichten.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Sofern der Hauptmieter einer Wohnung aufgrund des Mietvertrages
oder einer anderen Vereinbarung berechtigt ist, eine der
gemeinsamen Benützung der Bewohner dienende Anlage des Hauses
(Personenaufzug, Zentralheizung, Waschküche, etc) zu benützen, muss
er gem § 24 Abs 1 MRG ebenfalls einen Teil der
anfallenden Gesamtkosten des Betriebes dieser Anlage mittragen. Die
Aufteilung der Kosten erfolgt wie bei den Betriebskosten, dh nach
dem Nutzflächenschlüssel, sofern nicht zwischen dem Vermieter und
allen Mietern ein anderer Aufteilungsschlüssel vereinbart worden
ist.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Vereinbarung über die Liftbenützung für Erdgeschoßmieter ist
hingegen in der Regel unwirksam und eine Weiterverrechnung der
Kosten unzulässig.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Können bei Gemeinschaftsanlagen die Energiekosten den Benützern
zugeordnet werden, so dürfen diese Energiekosten in pauschalierter
Form (zB durch Münzautomaten) von den Benützern eingehoben werden.
Diese Entgelte sind in der Abrechnung als Einnahmen
auszuweisen.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Bezüglich der Heiz- und Warmwasserkosten einer gemeinsamen
Wärmeversorgungsanlage sind primär die Verteilungsregelungen des
Heizkostenabrechnungsgesetzes anzuwenden.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Grünanlagen handelt es sich um Gemeinschaftseinrichtungen
besonderer Art, bei der es grundsätzlich nicht notwendig bzw üblich
ist, besondere Vereinbarungen über die Benützung zu treffen.
Lediglich dann, wenn das alleinige Nutzungsrecht einzelnen Mietern
oder dem Vermieter vorbehalten ist, können die Kosten hierfür nicht
den übrigen Mietern weiterverrechnet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Betriebskostenabrechnung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damit einverstanden, dass für die Betriebskosten,
sowie Zuschläge für sonstige besondere Aufwendungen monatliche
Pauschalbeträge in gleichbleibender Höhe gegen einmalige jährliche
Verrechnung entrichtet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Ablauf des jeweiligen Kalenderjahres werden die
tatsächlichen Betriebskosten abgerechnet und dem Mieter entweder
eine Gutschrift erteilt oder er hat die Mehrkosten mit der
nachfolgenden Monatsvorschreibung zu bezahlen.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Es gibt zwei Arten der Betriebskostenabrechnung: die
Einzelvorschreibung und die Pauschalverrechnung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Pauschalverrechnung wird den Mietern jährlich ein monatlich
gleichbleibender Betrag vorgeschrieben. Bis spätestens 30.06. eines
jeden Kalenderjahres muss der Vermieter den Mietern eine Abrechnung
der Betriebskosten des Vorjahres erstellen und an einer geeigneten
Stelle im Haus allen Mietern zur Einsichtnahme auflegen. Die
Aufstellung muss in einer übersichtlichen und für einen
durchschnittlichen Mieter nachvollziehbaren Form erfolgen. Eine
Übersendung an jeden einzelnen Mieter ist nicht erforderlich. Die
Mieter können in die Belege einsehen und auf ihre Kosten Kopien
anfertigen lassen. Das neue monatliche Akonto wird auf Basis der
vorangegangenen Jahresabrechnung ermittelt und darf diesen Betrag
um 10 % übersteigen. Weist die Betriebskostenabrechnung ein
Guthaben aus, muss dies den Mietern bis zum übernächsten
Zinsfälligkeitstermin (zB Datum der Abrechnung 30.06., Rückzahlung
spätestens 01.08.) zurückerstattet werden. Ein allfälliger
Fehlbetrag ist vom Mieter zum übernächsten Zinstermin nachzuzahlen.
Das Recht zur Rückforderung bzw die Pflicht zur Nachzahlung trifft
denjenigen, der zu diesem Zeitpunkt Hauptmieter ist, selbst wenn er
nicht die volle Abrechnungsperiode Hauptmieter war.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hat Betriebskosten und öffentliche Abgaben
innerhalb eines Jahres geltend zu machen. Die Frist zur
Geltendmachung beginnt mit Ablauf des Kalenderjahres zu laufen, in
dem die Kosten gegenüber dem Vermieter fällig geworden sind. Es
handelt sich dabei um eine so genannte Präklusionsfrist. Dies
bedeutet, dass Betriebskosten und Abgaben, deren Fälligkeit vor
mehr als einem Jahr eingetreten ist, nicht mehr geltend gemacht
werden können. Für die rechtzeitige Geltendmachung reicht es aus,
eine Aufstellung der Ausgabenposten, die der Vermieter als
Betriebskosten und Abgaben verrechnen will, samt Belegen zu
erstellen. Wurden die Betriebskosten und öffentlichen Abgaben auf
diese Weise geltend gemacht, können sie als Teil des gesetzlichen
Mietzinses innerhalb der Verjährungsfrist von drei Jahren gegenüber
dem Mieter geltend gemacht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Falle der Einzelvorschreibung kann der Vermieter die
Betriebskosten und öffentlichen Abgaben zum 1. des jeweiligen
Monats vorschreiben, die spätestens an diesem Tag fällig werden.
Dem Mieter ist die Höhe wenigstens drei Tage im Vorhinein unter
Vorlage der Rechnungsbelege nachzuweisen. Kosten, deren Fälligkeit
vor mehr als einem Jahr eingetreten ist, können nicht mehr geltend
gemacht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Fälligkeit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Mietzins samt allem Anhang ist im Voraus
monatlich jeweils am 5. eines Monats zu entrichten. Die Zahlung des
monatlichen Mietzinses hat ausschließlich durch Überweisung auf das
vom Vermieter bekanntzugebende Konto zu erfolgen.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Kommt aufgrund des Mietgegenstandes das MRG zur Anwendung, ist der
Mietzins am Fünften des Kalendermonats zu entrichten, sofern kein
späterer Zahlungstermin vereinbart ist (§ 15 Abs 3 MRG).
Es darf kein früherer Zahlungstermin vereinbart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Sonstige Kosten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Mietzins nicht enthalten sind die Kosten für Strom,
Warmwasser, Heizung und diverse Nebengebühren, wie Rundfunk- und
Fernsehgebühren, Telefonkosten, usw. Diesbezüglich hat der Mieter
selbst direkt mit den jeweiligen Versorgungsunternehmen die
entsprechenden Verträge im eigenen Namen und auf eigene Rechnung
abzuschließen.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Aufrechnung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Aufrechnung von Gegenforderungen gegen den Mietzins ist –
ausgenommen im Fall der Zahlungsunfähigkeit des Vermieters –
ausgeschlossen, soweit sie nicht im rechtlichen Zusammenhang mit
dem Mietverhältnis stehen oder gerichtlich festgestellt oder vom
Vermieter anerkannt wurden.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Verhältnis zwischen Unternehmer und Verbraucher ist ein
Kompensationsverbot (Aufrechnungsverbot) sittenwidrig. Dies gilt
unter anderem auch für konnexe Gegenforderungen (§ 6
Abs 1 Z 8 KSchG). Anderes gilt im Fall eines unter
Verbrauchern abgeschlossenen Mietvertrags. Das
Konsumentenschutzgesetz (KSchG) ist nicht unmittelbar anzuwenden.
Aus dem bloßen Umstand, dass zwischen einem Vermieter und einem
Mieter ein wirtschaftliches Ungleichgewicht bestehen vermag, kann
auch nicht die analoge Anwendung von Bestimmungen des KSchG
abgeleitet werden. Daher ist ein Kompensationsverbot
(Aufrechnungsverbot) auch für konnexe Gegenforderungen des Mieters
gegen Mietzinsforderungen des Vermieters grundsätzlich
zulässig.</w:t>
            </w:r>
          </w:p>
        </w:tc>
      </w:tr>
    </w:tbl>
    <w:p>
      <w:pPr>
        <w:widowControl w:val="on"/>
        <w:pBdr/>
        <w:spacing w:before="200" w:after="200" w:line="300" w:lineRule="auto"/>
        <w:ind w:left="0" w:right="0"/>
        <w:jc w:val="center"/>
        <w:outlineLvl w:val="2"/>
      </w:pPr>
      <w:r>
        <w:rPr>
          <w:rFonts w:ascii="Arial" w:hAnsi="Arial" w:eastAsia="Arial" w:cs="Arial"/>
          <w:color w:val="363A40"/>
          <w:sz w:val="22"/>
          <w:szCs w:val="22"/>
        </w:rPr>
        <w:t xml:space="preserve">4. Kaution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übergibt dem Vermieter bei Abschluss dieses
Mietvertrags als Kaution einen Geldbetrag in Höhe von EUR …
[Betrag].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Rechtsprechung ist im Vollanwendungsbereich des MRG
grundsätzlich eine Kaution in Höhe von sechs Bruttomonatsmieten
zulässig; eine höhere Kaution bedarf eines besonderen
Sicherstellungsinteresses. Sollte ein solches bestehen, sollte
dieses auch unbedingt im Mietvertrag als Grund für eine höhere
Kaution festgehalten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Veranlagung und Verzinsung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ist zur fruchtbringenden Anlegung des
Kautionsbetrages iSd § 16b Abs 1 MRG verpflichtet. Der
Vermieter wird diesen Geldbetrag auf einem Sparbuch oder Sparkonto
anlegen, und den Mieter darüber informieren. Vorbehaltlich
Gegenforderungen wird der Vermieter dem Mieter nach Rückstellung
des Mietgegenstandes die Kaution zuzüglich Zinsen abzüglich
Veranlagungskosten ausfolgen.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Wenn die Kaution dem Vermieter nicht ohnehin bereits in Gestalt
eines Sparbuchs oder eines Sparkontos, sondern als Geldbetrag
übergeben wird, hat sie der Vermieter auf einem Sparbuch oder auf
einem Sparkonto fruchtbringend zu veranlagen und den Mieter darüber
auf Verlangen schriftlich zu informieren. Andere Arten der
Kautionsveranlagung sind zulässig, wenn sie eine gleich gute
Verzinsung – insbesondere durch Anwendbarkeit der gesetzlichen
Einlagensicherung – eine gleich hohe Sicherheit wie eine
Spareinlage bieten und wenn sie eine eindeutige Abgrenzung vom
Vermögen des Vermieters und bei dessen Insolvenz eine Absonderung
ermöglichen.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Verwendungszweck</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Kaution dient zur Sicherstellung für sämtliche Forderungen
des Vermieters gegen den Mieter aus dem Mietverhältnis,
insbesondere wegen Mietzinsausfällen betreffend das gegenständliche
Mietobjekt, welcher Art auch immer (einschließlich anteiliger
Betriebskosten), Abnützung, Beschädigung, Devastierung des
Mietgegenstandes, Entfernung oder Vernichtung von Inventar und
Beschädigungen anderer Teile des Hauses. Die Kaution gilt
insbesondere zur Absicherung des Vermieters für eine ordnungsgemäße
Rückgabe des Mietgegenstandes nach Beendigung des
Mietverhältnisses.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Beendigung des Mietverhältnisses hat der Vermieter dem
Mieter die Kaution samt den aus ihrer Veranlagung erzielten Zinsen
unverzüglich zurückzustellen, soweit die Kaution nicht zur Tilgung
von Forderungen des Vermieters aus dem Mietverhältnis herangezogen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16b Abs 2 MRG hat der Vermieter nach Beendigung
des Mietvertrages dem Mieter die Kaution samt den aus ihrer
Veranlagung erzielten Zinsen unverzüglich zurückzustellen, soweit
sie nicht zur Tilgung von berechtigten Forderungen des Vermieters
aus dem Mietverhältnis herangezogen wird.</w:t>
            </w:r>
          </w:p>
        </w:tc>
      </w:tr>
    </w:tbl>
    <w:p>
      <w:pPr>
        <w:widowControl w:val="on"/>
        <w:pBdr/>
        <w:spacing w:before="200" w:after="200" w:line="300" w:lineRule="auto"/>
        <w:ind w:left="0" w:right="0"/>
        <w:jc w:val="center"/>
        <w:outlineLvl w:val="2"/>
      </w:pPr>
      <w:r>
        <w:rPr>
          <w:rFonts w:ascii="Arial" w:hAnsi="Arial" w:eastAsia="Arial" w:cs="Arial"/>
          <w:color w:val="363A40"/>
          <w:sz w:val="22"/>
          <w:szCs w:val="22"/>
        </w:rPr>
        <w:t xml:space="preserve">5. Übergabe/Übernahme</w:t>
      </w:r>
    </w:p>
    <w:p>
      <w:pPr>
        <w:widowControl w:val="on"/>
        <w:pBdr/>
        <w:spacing w:before="140" w:after="240" w:line="288" w:lineRule="auto"/>
        <w:ind w:left="0" w:right="0"/>
        <w:jc w:val="left"/>
      </w:pPr>
      <w:r>
        <w:rPr>
          <w:rFonts w:ascii="Arial" w:hAnsi="Arial" w:eastAsia="Arial" w:cs="Arial"/>
          <w:color w:val="000000"/>
          <w:sz w:val="20"/>
          <w:szCs w:val="20"/>
        </w:rPr>
        <w:t xml:space="preserve">Mit Abschluss dieses Mietvertrages mietet der Mieter das in
Punkt 1 genannte Mietobjekt zu den Bedingungen dieses
Mietvertrages. Beide Vertragsparteien bestätigen gleichzeitig, dass
sich der Mietgegenstand bei Übergabe in einem guten und brauchbaren
Zustand befunden hat.</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6. Erhaltung und Schutz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Erhaltungspflicht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verpflichtet, alles für die Erhaltung des
Zustandes im Inneren des Mietobjektes zu unternehmen.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den Mietgegenstand in einem guten und
brauchbaren Zustand übernommen zu haben.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verpflichtet sich, den Mietgegenstand sowie alle in
diesem Mietgegenstand enthaltenen Einrichtungs- und
Ausstattungsgegenstände, die in einer diesem Vertrag
angeschlossenen Inventarliste aufgezählt und beschrieben sind und
dem Mieter zur Benützung überlassen wurden, schonend zu
behandeln.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generelle Überwälzung von Erhaltungspflichten auf den Mieter,
ohne dafür ein entsprechendes Äquivalent zu gewähren, wird von der
Rechtsprechung jedoch als sachlich nicht gerechtfertigte Abweichung
vom dispositiven Recht (§§ 3 und 8 MRG) gesehen. Derartige
Vertragsklauseln werden nach der jüngeren Rechtsprechung der
Inhaltskontrolle gem § 879 Abs 3 ABGB unterzogen und
können im Einzelfall gröblich benachteiligend und nichtig sein.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Anzeigepflicht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am Mietgegenstand Ausbesserungen notwendig, deren
Vornahme dem Vermieter obliegen, so ist der Mieter bei sonstigem
Schadenersatz verpflichtet, dem Vermieter diese unverzüglich
anzuzeigen.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Diese Klausel entspricht § 1097 ABGB und ist nicht
sittenwidrig.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Duldungspflicht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hat die vorübergehende Benützung und die Veränderung
seines Mietgegenstandes zuzulassen, wenn dies zur Durchführung von
Erhaltungs- oder Verbesserungsarbeiten an allgemeinen Teilen des
Hauses oder zur Behebung ernster Schäden des Hauses in seinem oder
einem anderen Mietobjekt (Wohnungseigentumsobjekt) notwendig oder
zweckmäßig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Sicherheitsbeschränkungen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Mieter ist es ausdrücklich untersagt Geräte aller Art zu
installieren, welche nicht den zum jeweiligen Zeitpunkt gültigen
Sicherheitsvorschriften entsprechen. Insbesondere dürfen Strom- und
Gasgeräte nicht angeschlossen werden, welche nicht den
österreichischen Sicherheitsstandards entsprechen (ÖVE udgl).</w:t>
            </w:r>
          </w:p>
        </w:tc>
      </w:tr>
    </w:tbl>
    <w:p>
      <w:pPr>
        <w:widowControl w:val="on"/>
        <w:pBdr/>
        <w:spacing w:before="200" w:after="200" w:line="300" w:lineRule="auto"/>
        <w:ind w:left="0" w:right="0"/>
        <w:jc w:val="center"/>
        <w:outlineLvl w:val="2"/>
      </w:pPr>
      <w:r>
        <w:rPr>
          <w:rFonts w:ascii="Arial" w:hAnsi="Arial" w:eastAsia="Arial" w:cs="Arial"/>
          <w:color w:val="363A40"/>
          <w:sz w:val="22"/>
          <w:szCs w:val="22"/>
        </w:rPr>
        <w:t xml:space="preserve">7. Benützung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Gesonderte Vereinbarung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gegenständlichen Mietvertrag nicht angeführte
Liegenschaftsteile können nur durch gesonderte schriftliche
Vereinbarung Gegenstand dieses Mietvertrages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Tierhaltung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Jegliche Tierhaltung im Mietobjekt ist nur in sachgerechter
Weise und unter Rücksichtnahme auf die schutzwürdigen Interessen
der übrigen Bewohner des Hauses zulässig. Bewirkt die Tierhaltung
Übelstände im Mietobjekt oder an den allgemeinen Teilen des Hauses
(wie insbesondere Schäden und Verunreinigungen) oder unzumutbare
Beeinträchtigungen der Hausbewohner durch Lärm,
Geruchsbelästigungen etc, so hat der Mieter über Aufforderung des
Vermieters die im Mietobjekt gehaltenen Tiere zu entfernen.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Auch wenn die Tierhaltung im Mietvertrag nicht absolut verboten,
sondern von der Zustimmung des Vermieters abhängig gemacht wurde,
kann der Vermieter die Unterlassung einer solchen Tierhaltung, die
ohne seine Bewilligung erfolgt, verlangen, ohne dass er triftige
Gründe für sein Verlangen beweisen müsste (RS0014419).</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Eine Klausel im Mietvertrag, die ein Verbot der Haltung
jeglicher Tiere vorsieht und nicht klar zum Ausdruck bringt, dass
sie sich nicht auf artgerecht in Behältnissen gehaltene
wohnungsübliche Kleintiere bezieht, ist grundsätzlich als gröblich
benachteiligend iSv § 879 Abs 3 ABGB zu qualifizieren.
Bei anderen Tieren kann dem Vermieter ein schützenswertes Interesse
an einer Beschränkung aber nicht abgesprochen werden
(RS0126573).</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Behältnissen gehaltene, wohnungsübliche Kleintiere sind etwa
Ziervögel, Zierfische, Hamster oder kleine Schildkröten.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hat zwar die Möglichkeit, von Anfang an generell
Tierhaltung im Mietobjekt zu verbieten. Räumt er dem Mieter jedoch
eine von seiner Zustimmung abhängige Möglichkeit dazu ein, darf er
diese nicht willkürlich ablehnen (6 Ob 129/08a).</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Wurde vertraglich nichts vereinbart, kommt es für die Frage, ob der
Mieter im Einzelfall berechtigt ist, Haustiere zu halten, auf den
Zweck des Vertrages, auf den Ortsgebrauch und auf die Verkehrssitte
an. Danach ist das Halten der üblichen Haustiere (insbesondere von
Hunden und Katzen) regelmäßig erlaubt. Belästigungen, die über das
zu duldende Normalmaß hinausgehen, müssen aber nicht hingenommen
werden (RS0109603).</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Besitzstörung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Wird der Mieter im Genuss der Mietrechte gestört, ist er
berechtigt, seine Ansprüche gegen den Störer selbst unmittelbar
klageweise durchzusetzen.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Hausordnung und Energieausweis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verpflichtet sich zur Einhaltung der diesem Vertrag
als Beilage ./A angeschlossenen und einen integrierenden
Bestandteil desselben bildenden Hausordnung. Ferner bestätigt der
Mieter den Erhalt einer Kopie des Energieausweises gem
Energieausweis-Vorlage-Gesetz 2012, Beilage ./B.</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Abstellen von Fahrzeugen und Transportmitteln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Abstellen von Fahrzeugen und Transportmitteln, wie Fahrräder
und Kraftfahrräder, Fahrzeuge, Kinderwägen, usw. außerhalb des
Mietgegenstandes ist dem Mieter nur auf den rot eingezeichneten
Flächen laut Lageplan, Beilage ./C., gestattet.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Elektrobefund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bestätigt den Erhalt einer Kopie des Elektrobefundes,
Beilage ./D.</w:t>
            </w:r>
          </w:p>
        </w:tc>
      </w:tr>
    </w:tbl>
    <w:p>
      <w:pPr>
        <w:widowControl w:val="on"/>
        <w:pBdr/>
        <w:spacing w:before="200" w:after="200" w:line="300" w:lineRule="auto"/>
        <w:ind w:left="0" w:right="0"/>
        <w:jc w:val="center"/>
        <w:outlineLvl w:val="2"/>
      </w:pPr>
      <w:r>
        <w:rPr>
          <w:rFonts w:ascii="Arial" w:hAnsi="Arial" w:eastAsia="Arial" w:cs="Arial"/>
          <w:color w:val="363A40"/>
          <w:sz w:val="22"/>
          <w:szCs w:val="22"/>
        </w:rPr>
        <w:t xml:space="preserve">8. Rückgabe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Beendigung des Mietvertrags ist der Mieter verpflichtet,
dem Vermieter das Mietobjekt – unter Berücksichtigung der
gewöhnlichen Abnützung – in gleich gutem Zustand wie bei Übergabe
zurückzugeben.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Benützungsentgelt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verspäteter Übergabe schuldet der Mieter dem Vermieter
ein angemessenes Benützungsentgelt in Höhe des zuletzt gezahlten
Mietzinses.</w:t>
            </w:r>
          </w:p>
        </w:tc>
      </w:tr>
    </w:tbl>
    <w:p>
      <w:pPr>
        <w:widowControl w:val="on"/>
        <w:pBdr/>
        <w:spacing w:before="200" w:after="200" w:line="300" w:lineRule="auto"/>
        <w:ind w:left="0" w:right="0"/>
        <w:jc w:val="center"/>
        <w:outlineLvl w:val="2"/>
      </w:pPr>
      <w:r>
        <w:rPr>
          <w:rFonts w:ascii="Arial" w:hAnsi="Arial" w:eastAsia="Arial" w:cs="Arial"/>
          <w:color w:val="363A40"/>
          <w:sz w:val="22"/>
          <w:szCs w:val="22"/>
        </w:rPr>
        <w:t xml:space="preserve">9. Untervermietung</w:t>
      </w:r>
    </w:p>
    <w:p>
      <w:pPr>
        <w:widowControl w:val="on"/>
        <w:pBdr/>
        <w:spacing w:before="140" w:after="240" w:line="288" w:lineRule="auto"/>
        <w:ind w:left="0" w:right="0"/>
        <w:jc w:val="left"/>
      </w:pPr>
      <w:r>
        <w:rPr>
          <w:rFonts w:ascii="Arial" w:hAnsi="Arial" w:eastAsia="Arial" w:cs="Arial"/>
          <w:color w:val="000000"/>
          <w:sz w:val="20"/>
          <w:szCs w:val="20"/>
        </w:rPr>
        <w:t xml:space="preserve">Der Mieter ist – vorbehaltlich des § 11 MRG – nicht
berechtigt, das Mietobjekt zur Gänze unterzuvermieten.</w:t>
      </w:r>
    </w:p>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Auf ein vertragliches Verbot der Untervermietung kann sich der
Vermieter gem § 11 Abs 1 MRG nur berufen, wenn ein
wichtiger Grund gegen die Untervermietung vorliegt. Ein wichtiger
Grund gegen die Untervermietung liegt vor, wenn:</w:t>
      </w:r>
    </w:p>
    <w:p>
      <w:pPr>
        <w:numPr>
          <w:ilvl w:val="0"/>
          <w:numId w:val="4052431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Mietgegenstand zur Gänze untervermietet werden soll</w:t>
      </w:r>
    </w:p>
    <w:p>
      <w:pPr>
        <w:numPr>
          <w:ilvl w:val="0"/>
          <w:numId w:val="4052431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in Aussicht genommene Untermietzins eine im Vergleich zu
dem vom Untervermieter zu entrichtenden Mietzins und etwaigen
sonstigen Leistungen des Untervermieters unverhältnismäßig hohe
Gegenleistung darstellt</w:t>
      </w:r>
    </w:p>
    <w:p>
      <w:pPr>
        <w:numPr>
          <w:ilvl w:val="0"/>
          <w:numId w:val="4052431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Anzahl der Bewohner einer gemieteten Wohnung die Anzahl der
Wohnräume übersteigt oder nach der Aufnahme des Untermieters
übersteigen würde, oder</w:t>
      </w:r>
    </w:p>
    <w:p>
      <w:pPr>
        <w:numPr>
          <w:ilvl w:val="0"/>
          <w:numId w:val="4052431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Wenn mit Grund zu besorgen ist, dass der Untermieter den
Frieden der Hausgemeinschaft stören wird</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10. Vereinbarte Kündigungsgründe und
Vertragsauflösung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Vereinbarter Kündigungsgrund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Als wichtiger und bedeutsamer Kündigungsgrund seitens des
Vermieters iSd § 30 Abs 2 Z 13 MRG ist anzusehen,
wenn der Mietgegenstand nicht zur Befriedigung des dringenden
Wohnbedürfnisses des Mieters regelmäßig verwendet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Dem Benützer dieses Musters sei nochmals klargemacht, dass eine
Kündigung grundsätzlich nur nach den wenigen gesetzlichen
Kündigungsgründen möglich ist und allenfalls nach dem hier
dargestellten Kündigungsgrund. Das Hinzuerfinden weiterer
Kündigungsgründe, seien sie auch noch so logisch, führt zu nichts
(vgl § 30 Abs 3 MRG)!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30 Abs 2 Z 13 MRG können im Mietvertrag –
ergänzend zum Katalog des § 30 Abs 2 MRG – wichtige und
bedeutsame Umstände als Kündigungsgründe vereinbart werden. Der
vereinbarte Kündigungsgrund muss bestimmt bezeichnet und für den
Vermieter objektiv bedeutsam sein sowie den sonst in § 30
Abs 2 MRG angeführten Gründen zwar nicht gleich-, aber doch
nahekommen (RIS-Justiz RS0070752, RIS-Justiz RS0070705). Jene
Tatsache, die den Kündigungsgrund bilden soll, muss also bereits im
Mietvertrag zur Gänze konkret angeführt werden. Es reicht nicht
aus, nur einen allgemeinen Tatbestand (zB Verkauf oder Eigenbedarf)
zu nennen und die Konkretisierung der Kündigung zu überlassen
(RIS-Justiz RS007079). Beispielsweise kann also nicht der
Eigenbedarf schlechthin, sondern nur ein ganz bestimmter Fall von
Eigenbedarf als Endigungsgrund für das Mietverhältnis rechtswirksam
vereinbart werden, und dieser Fall muss sodann tatsächlich
eingetreten sein (RIS-Justiz RS0070705).</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30 Abs 3 MRG ist eine Vereinbarung
rechtsunwirksam, wonach dem Vermieter das Kündigungsrecht
unbeschränkt oder in einem weiteren als dem nach § 30
Abs 1 und 2 MRG bestimmten Maß zustehen soll. Diese zwingende
Bestimmung kann nicht dadurch umgangen werden, dass ein nicht den
Kündigungstatbeständen zu unterstellendes Verhalten als
Kündigungsgrund vereinbart wird. Als solche unzulässige Umgehung
der Kündigungsbeschränkungen wurde etwa die schriftliche
Vereinbarung der Veräußerung der Liegenschaft als wichtiger Umstand
für die Kündigung ohne besonderes Bedürfnis des Vermieters nach
dieser Auflösungsmöglichkeit gewertet (RIS-Justiz RS0070712) und
demgemäß auch ausgesprochen, dass im Allgemeinen die Veräußerung
des Bestandobjekts für sich allein nicht als wichtiger Umstand für
die Kündigung angesehen werden kann (3 Ob 181/1h, usw).</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Vertragsauflösung des Mieters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Dessen unbeschadet steht dem Mieter jederzeit das Recht zu, den
Mietvertrag iSd Bestimmungen des § 1117 ABGB vorzeitig
aufzulösen.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Nicht jede Vertragsverletzung versetzt den Mieter in die Lage, gem
§ 1117 ABGB, die Vertragsauflösung zu erklären, sondern nur
dann, wenn die in § 1117 ABGB verwirklichten Tatbestände
vorliegen. Die Verletzung irgendeiner Nebenabrede dieses Vertrages
wird dazu regelmäßig nicht ausreichen.</w:t>
            </w:r>
          </w:p>
        </w:tc>
      </w:tr>
    </w:tbl>
    <w:p>
      <w:pPr>
        <w:widowControl w:val="on"/>
        <w:pBdr/>
        <w:spacing w:before="200" w:after="200" w:line="300" w:lineRule="auto"/>
        <w:ind w:left="0" w:right="0"/>
        <w:jc w:val="center"/>
        <w:outlineLvl w:val="2"/>
      </w:pPr>
      <w:r>
        <w:rPr>
          <w:rFonts w:ascii="Arial" w:hAnsi="Arial" w:eastAsia="Arial" w:cs="Arial"/>
          <w:color w:val="363A40"/>
          <w:sz w:val="22"/>
          <w:szCs w:val="22"/>
        </w:rPr>
        <w:t xml:space="preserve">11. Gerichtsstand</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vereinbaren für sämtliche Streitigkeiten
aus diesem Vertragsverhältnis die ausschließliche und alleinige
Zuständigkeit des Bezirksgerichts … [Angabe des
Bezirksgerichts].</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12. Kosten und Gebühren</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Errichtung dieses Mietvertrages trägt der
Vermieter.</w:t>
      </w:r>
    </w:p>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Seit dem Erkenntnis des OGH (wobl 1993/125 zust </w:t>
      </w:r>
      <w:r>
        <w:rPr>
          <w:rFonts w:ascii="Arial" w:hAnsi="Arial" w:eastAsia="Arial" w:cs="Arial"/>
          <w:i/>
          <w:iCs/>
          <w:color w:val="000000"/>
          <w:sz w:val="20"/>
          <w:szCs w:val="20"/>
        </w:rPr>
        <w:t xml:space="preserve">Würth</w:t>
      </w:r>
      <w:r>
        <w:rPr>
          <w:rFonts w:ascii="Arial" w:hAnsi="Arial" w:eastAsia="Arial" w:cs="Arial"/>
          <w:color w:val="000000"/>
          <w:sz w:val="20"/>
          <w:szCs w:val="20"/>
        </w:rPr>
        <w:t xml:space="preserve">)
können diese Kosten nicht mehr auf den Mieter überwälzt werden.</w:t>
      </w:r>
    </w:p>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Mietvertragserrichtungskosten werden manchmal bei Abschluss eines
Mietvertrages für den dadurch entstandenen Aufwand vom Mieter
verlangt. Es gibt dafür keine gesetzliche Grundlage.</w:t>
      </w:r>
    </w:p>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Seit 11.11.2017 entfällt durch die Novelle
BGBl Nr 147/2017 die Gebühr für Mietverträge über
Wohnraum, die ab dem 11. November 2017 abgeschlossen werden. Für
Mieter fallen somit keine Kosten für die Vergebührung des Vertrages
an.</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13. Schlüssel</w:t>
      </w:r>
    </w:p>
    <w:p>
      <w:pPr>
        <w:widowControl w:val="on"/>
        <w:pBdr/>
        <w:spacing w:before="140" w:after="240" w:line="288" w:lineRule="auto"/>
        <w:ind w:left="0" w:right="0"/>
        <w:jc w:val="left"/>
      </w:pPr>
      <w:r>
        <w:rPr>
          <w:rFonts w:ascii="Arial" w:hAnsi="Arial" w:eastAsia="Arial" w:cs="Arial"/>
          <w:color w:val="000000"/>
          <w:sz w:val="20"/>
          <w:szCs w:val="20"/>
        </w:rPr>
        <w:t xml:space="preserve">Der Vermieter übergibt dem Mieter anlässlich des
Vertragsabschlusses fünf Schlüssel: … [Es folgt eine Aufzählung der
Schlüssel].</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14. Schlussbestimmungen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Schriftform</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Parteien erklären übereinstimmend, dass mit Ausnahme dieses
Vertrages keine weiteren Abreden bestehen. Sie versprechen einander
überdies, künftige Abänderungen dieses Vertrages ausschließlich der
Schriftform vorzubehalten.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Salvatorische Klausel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Sollten einzelne Bestimmungen dieses Vertrages unwirksam sein
oder werden, so bleibt die Wirksamkeit der übrigen Bestimmungen
unberührt. Anstelle der unwirksamen Bestimmungen gilt eine wirksame
Bestimmung als vereinbart, die dem wirtschaftlichen Zweck der
unwirksamen Bestimmung möglichst nahekommt.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salvatorische Klausel im Mietvertrag ist in Österreich
gesetzlich nicht vorgesehen, wird jedoch empfohlen, um
Unsicherheiten zu vermeiden.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salvatorische Klausel sollte klar und eindeutig formuliert
sein und sicherstellen, dass die übrigen Bestimmungen des
Mietvertrags unberührt bleiben, auch wenn einzelne Klauseln
unwirksam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Vertragsausfertigung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Dieser Vertrag wird in zwei Ausfertigungen errichtet, von
welchen je eine für die Partei bestimmt ist.</w:t>
            </w:r>
          </w:p>
        </w:tc>
      </w:tr>
    </w:tbl>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524318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78139953">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4419547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2019590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105717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150584">
    <w:multiLevelType w:val="hybridMultilevel"/>
    <w:lvl w:ilvl="0" w:tplc="40178005">
      <w:start w:val="1"/>
      <w:numFmt w:val="decimal"/>
      <w:lvlText w:val="%1."/>
      <w:lvlJc w:val="left"/>
      <w:pPr>
        <w:ind w:left="720" w:hanging="360"/>
      </w:pPr>
    </w:lvl>
    <w:lvl w:ilvl="1" w:tplc="40178005" w:tentative="1">
      <w:start w:val="1"/>
      <w:numFmt w:val="lowerLetter"/>
      <w:lvlText w:val="%2."/>
      <w:lvlJc w:val="left"/>
      <w:pPr>
        <w:ind w:left="1440" w:hanging="360"/>
      </w:pPr>
    </w:lvl>
    <w:lvl w:ilvl="2" w:tplc="40178005" w:tentative="1">
      <w:start w:val="1"/>
      <w:numFmt w:val="lowerRoman"/>
      <w:lvlText w:val="%3."/>
      <w:lvlJc w:val="right"/>
      <w:pPr>
        <w:ind w:left="2160" w:hanging="180"/>
      </w:pPr>
    </w:lvl>
    <w:lvl w:ilvl="3" w:tplc="40178005" w:tentative="1">
      <w:start w:val="1"/>
      <w:numFmt w:val="decimal"/>
      <w:lvlText w:val="%4."/>
      <w:lvlJc w:val="left"/>
      <w:pPr>
        <w:ind w:left="2880" w:hanging="360"/>
      </w:pPr>
    </w:lvl>
    <w:lvl w:ilvl="4" w:tplc="40178005" w:tentative="1">
      <w:start w:val="1"/>
      <w:numFmt w:val="lowerLetter"/>
      <w:lvlText w:val="%5."/>
      <w:lvlJc w:val="left"/>
      <w:pPr>
        <w:ind w:left="3600" w:hanging="360"/>
      </w:pPr>
    </w:lvl>
    <w:lvl w:ilvl="5" w:tplc="40178005" w:tentative="1">
      <w:start w:val="1"/>
      <w:numFmt w:val="lowerRoman"/>
      <w:lvlText w:val="%6."/>
      <w:lvlJc w:val="right"/>
      <w:pPr>
        <w:ind w:left="4320" w:hanging="180"/>
      </w:pPr>
    </w:lvl>
    <w:lvl w:ilvl="6" w:tplc="40178005" w:tentative="1">
      <w:start w:val="1"/>
      <w:numFmt w:val="decimal"/>
      <w:lvlText w:val="%7."/>
      <w:lvlJc w:val="left"/>
      <w:pPr>
        <w:ind w:left="5040" w:hanging="360"/>
      </w:pPr>
    </w:lvl>
    <w:lvl w:ilvl="7" w:tplc="40178005" w:tentative="1">
      <w:start w:val="1"/>
      <w:numFmt w:val="lowerLetter"/>
      <w:lvlText w:val="%8."/>
      <w:lvlJc w:val="left"/>
      <w:pPr>
        <w:ind w:left="5760" w:hanging="360"/>
      </w:pPr>
    </w:lvl>
    <w:lvl w:ilvl="8" w:tplc="40178005" w:tentative="1">
      <w:start w:val="1"/>
      <w:numFmt w:val="lowerRoman"/>
      <w:lvlText w:val="%9."/>
      <w:lvlJc w:val="right"/>
      <w:pPr>
        <w:ind w:left="6480" w:hanging="180"/>
      </w:pPr>
    </w:lvl>
  </w:abstractNum>
  <w:abstractNum w:abstractNumId="88150583">
    <w:multiLevelType w:val="hybridMultilevel"/>
    <w:lvl w:ilvl="0" w:tplc="468098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150583">
    <w:abstractNumId w:val="88150583"/>
  </w:num>
  <w:num w:numId="88150584">
    <w:abstractNumId w:val="88150584"/>
  </w:num>
  <w:num w:numId="861057179">
    <w:abstractNumId w:val="861057179"/>
  </w:num>
  <w:num w:numId="820195901">
    <w:abstractNumId w:val="820195901"/>
  </w:num>
  <w:num w:numId="544195473">
    <w:abstractNumId w:val="544195473"/>
  </w:num>
  <w:num w:numId="678139953">
    <w:abstractNumId w:val="678139953"/>
  </w:num>
  <w:num w:numId="405243186">
    <w:abstractNumId w:val="4052431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58013295" Type="http://schemas.openxmlformats.org/officeDocument/2006/relationships/numbering" Target="numbering.xml"/><Relationship Id="rId88207579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