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6541071" w:name="document"/>
    <w:bookmarkEnd w:id="16541071"/>
    <w:p/>
    <w:p>
      <w:pPr>
        <w:widowControl w:val="on"/>
        <w:pBdr/>
        <w:spacing w:before="0" w:after="280" w:line="240" w:lineRule="auto"/>
        <w:ind w:left="0" w:right="0"/>
        <w:jc w:val="left"/>
      </w:pPr>
      <w:r>
        <w:rPr>
          <w:rFonts w:ascii="Arial" w:hAnsi="Arial" w:eastAsia="Arial" w:cs="Arial"/>
          <w:color w:val="363A40"/>
          <w:sz w:val="24"/>
          <w:szCs w:val="24"/>
        </w:rPr>
        <w:t xml:space="preserve">Dokument-ID: 1186796 | Karin Zahiragic - Andrea
Weisert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Wertsicherung: Änderungen nach dem 5. MILG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Vollanwendungsbereich MRG, Richtwertmietzins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„wertgesichert gem § 1
Abs 2 und Abs 3 MieWeG“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nach § 5 Richtwertgesetz
(RichtWG) unter Zugrundelegung des Richtwertmietzinses, sowie Zu-
und Abschläge und eines Lagezuschlags berechnet.</w:t>
      </w:r>
    </w:p>
    <w:p>
      <w:pPr>
        <w:widowControl w:val="on"/>
        <w:pBdr/>
        <w:spacing w:before="140" w:after="240" w:line="288" w:lineRule="auto"/>
        <w:ind w:left="0" w:right="0"/>
        <w:jc w:val="left"/>
      </w:pPr>
      <w:r>
        <w:rPr>
          <w:rFonts w:ascii="Arial" w:hAnsi="Arial" w:eastAsia="Arial" w:cs="Arial"/>
          <w:color w:val="000000"/>
          <w:sz w:val="20"/>
          <w:szCs w:val="20"/>
        </w:rPr>
        <w:t xml:space="preserve">Ausgangsbasis für die Wertsicherung ist der im Zeitpunkt des
Vertragsabschlusses wirksame Richtwert.</w:t>
      </w:r>
    </w:p>
    <w:p>
      <w:pPr>
        <w:widowControl w:val="on"/>
        <w:pBdr/>
        <w:spacing w:before="140" w:after="240" w:line="288" w:lineRule="auto"/>
        <w:ind w:left="0" w:right="0"/>
        <w:jc w:val="left"/>
      </w:pPr>
      <w:r>
        <w:rPr>
          <w:rFonts w:ascii="Arial" w:hAnsi="Arial" w:eastAsia="Arial" w:cs="Arial"/>
          <w:color w:val="000000"/>
          <w:sz w:val="20"/>
          <w:szCs w:val="20"/>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pacing w:before="140" w:after="240" w:line="288" w:lineRule="auto"/>
        <w:ind w:left="0" w:right="0"/>
        <w:jc w:val="left"/>
      </w:pPr>
      <w:r>
        <w:rPr>
          <w:rFonts w:ascii="Arial" w:hAnsi="Arial" w:eastAsia="Arial" w:cs="Arial"/>
          <w:color w:val="000000"/>
          <w:sz w:val="20"/>
          <w:szCs w:val="20"/>
        </w:rPr>
        <w:t xml:space="preserve">Indexschwankungen bleiben bis 3 % unberücksichtigt.</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Teilanwendungsbereich MRG</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beträgt monatlich EUR … zuzüglich
Umsatzsteuer und wird „wertgesichert gem § 1 Abs 2 des
Mieten-Wertsicherungsgesetzes“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1590674" w:name="note1"/>
            <w:bookmarkEnd w:id="71590674"/>
            <w:bookmarkStart w:id="7579511895469" w:name="note1"/>
            <w:r>
              <w:rPr>
                <w:rFonts w:ascii="Arial" w:hAnsi="Arial" w:eastAsia="Arial" w:cs="Arial"/>
                <w:color w:val="000000"/>
                <w:position w:val="0"/>
                <w:sz w:val="20"/>
                <w:szCs w:val="20"/>
              </w:rPr>
              <w:t xml:space="preserve">[1]</w:t>
            </w:r>
            <w:bookmarkEnd w:id="757951189546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einer Wertsicherungsvereinbarung soll ein Ausgleich für die
Inflation geschaffen werden. Eine Erhöhung des Mietzinses aufgrund
der Wertsicherung ist jedenfalls nur möglich, wenn die
Wertsicherung im Mietvertrag entsprechend vereinbart wurde. Welcher
Index vereinbart und wie die Indexklausel formuliert wird, ist
gesetzlich nicht geregelt. Üblicherweise wird in einer
Wertsicherungsvereinbarung der von der Statistik Austria zum
Zeitpunkt des Vertragsabschlusses gültige veröffentlichte aktuelle
Verbraucherpreisindex (VPI 2020) als Grundlage herangezogen. Häufig
wird vertraglich auch geregelt, dass Indexschwankungen bis zu
3 % oder 5 % unberücksichtigt bleiben.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7043974" w:name="note2"/>
            <w:bookmarkEnd w:id="47043974"/>
            <w:bookmarkStart w:id="9744478824710" w:name="note2"/>
            <w:r>
              <w:rPr>
                <w:rFonts w:ascii="Arial" w:hAnsi="Arial" w:eastAsia="Arial" w:cs="Arial"/>
                <w:color w:val="000000"/>
                <w:position w:val="0"/>
                <w:sz w:val="20"/>
                <w:szCs w:val="20"/>
              </w:rPr>
              <w:t xml:space="preserve">[2]</w:t>
            </w:r>
            <w:bookmarkEnd w:id="974447882471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Vollanwendungsbereich MRG,
Richtwertmietzins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gibt. Ab dem Jahr 2028 wird bei einer Vorjahresinflation
von mehr als 3 % der Teil, der 3 % übersteigt, im Rahmen
der Mietzinserhöhung nur zur Hälfte berücksichtigt.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die Veränderung der mietrechtlichen Rechtwerte
4,6 %, dürfen nur 3,8 % berücksichtigt werden (3 % +
die Hälfte von 1,6 %= 0 0,8 % = 3,8 %).</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kann gem § 2 MieWeG eine
Wertsicherung auch durch bloße Bezugnahme auf § 1 Abs 2
MieWeG sowie gegebenenfalls auf § 1 Abs 3 MieWeG wirksam
vereinbart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2 MieWeG gilt auch für Richtwertmietzinse.</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5217131" w:name="note3"/>
            <w:bookmarkEnd w:id="25217131"/>
            <w:bookmarkStart w:id="539357913238" w:name="note3"/>
            <w:r>
              <w:rPr>
                <w:rFonts w:ascii="Arial" w:hAnsi="Arial" w:eastAsia="Arial" w:cs="Arial"/>
                <w:color w:val="000000"/>
                <w:position w:val="0"/>
                <w:sz w:val="20"/>
                <w:szCs w:val="20"/>
              </w:rPr>
              <w:t xml:space="preserve">[3]</w:t>
            </w:r>
            <w:bookmarkEnd w:id="53935791323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Teilanwendungsbereich des MRG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Unter Wertsicherung versteht man die Anpassung des Mietzinses an
die Inflationsentwicklung.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Mieten-Wertsicherungsgesetzes“ angeführt wird.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4 Abs 3 MieWG sieht folgende Verjährungs- und
Rückforderungsbestimmungen im Falle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0404030" w:name="note4"/>
            <w:bookmarkEnd w:id="40404030"/>
            <w:bookmarkStart w:id="409191756356" w:name="note4"/>
            <w:r>
              <w:rPr>
                <w:rFonts w:ascii="Arial" w:hAnsi="Arial" w:eastAsia="Arial" w:cs="Arial"/>
                <w:color w:val="000000"/>
                <w:position w:val="0"/>
                <w:sz w:val="20"/>
                <w:szCs w:val="20"/>
              </w:rPr>
              <w:t xml:space="preserve">[4]</w:t>
            </w:r>
            <w:bookmarkEnd w:id="40919175635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Klauselentscheidung des OGH vom 21.03.2023, 2 Ob 36/23t
handelt es sich um Mietverträge, auf die das KSchG anzuwenden ist.
Nach dieser Entscheidung sind zusammengefasst
Wertsicherungsklauseln nichtig, wenn beispielsweise die folgende
Formulierung verwendet wird: </w:t>
            </w:r>
            <w:r>
              <w:rPr>
                <w:rFonts w:ascii="Arial" w:hAnsi="Arial" w:eastAsia="Arial" w:cs="Arial"/>
                <w:i/>
                <w:iCs/>
                <w:color w:val="000000"/>
                <w:position w:val="0"/>
                <w:sz w:val="20"/>
                <w:szCs w:val="20"/>
              </w:rPr>
              <w:t xml:space="preserve">„Sollte dieser Index nicht
verlautbart werden, gilt jener als Grundlage für die Wertsicherung,
der diesem Index am meisten entspricht.“</w:t>
            </w:r>
            <w:r>
              <w:rPr>
                <w:rFonts w:ascii="Arial" w:hAnsi="Arial" w:eastAsia="Arial" w:cs="Arial"/>
                <w:color w:val="000000"/>
                <w:position w:val="0"/>
                <w:sz w:val="20"/>
                <w:szCs w:val="20"/>
              </w:rPr>
              <w:t xml:space="preserve"> Der OGH begründet die
Nichtigkeit damit, dass nicht klar sei, wer entscheidet, welcher
Index dem idR VPI am meisten entspricht. Wenn also anstatt der
Wortfolge </w:t>
            </w:r>
            <w:r>
              <w:rPr>
                <w:rFonts w:ascii="Arial" w:hAnsi="Arial" w:eastAsia="Arial" w:cs="Arial"/>
                <w:i/>
                <w:iCs/>
                <w:color w:val="000000"/>
                <w:position w:val="0"/>
                <w:sz w:val="20"/>
                <w:szCs w:val="20"/>
              </w:rPr>
              <w:t xml:space="preserve">„diesem Index am meisten entspricht“</w:t>
            </w:r>
            <w:r>
              <w:rPr>
                <w:rFonts w:ascii="Arial" w:hAnsi="Arial" w:eastAsia="Arial" w:cs="Arial"/>
                <w:color w:val="000000"/>
                <w:position w:val="0"/>
                <w:sz w:val="20"/>
                <w:szCs w:val="20"/>
              </w:rPr>
              <w:t xml:space="preserve"> formuliert
wird </w:t>
            </w:r>
            <w:r>
              <w:rPr>
                <w:rFonts w:ascii="Arial" w:hAnsi="Arial" w:eastAsia="Arial" w:cs="Arial"/>
                <w:i/>
                <w:iCs/>
                <w:color w:val="000000"/>
                <w:position w:val="0"/>
                <w:sz w:val="20"/>
                <w:szCs w:val="20"/>
              </w:rPr>
              <w:t xml:space="preserve">„an dessen Stelle tritt“</w:t>
            </w:r>
            <w:r>
              <w:rPr>
                <w:rFonts w:ascii="Arial" w:hAnsi="Arial" w:eastAsia="Arial" w:cs="Arial"/>
                <w:color w:val="000000"/>
                <w:position w:val="0"/>
                <w:sz w:val="20"/>
                <w:szCs w:val="20"/>
              </w:rPr>
              <w:t xml:space="preserve">, würde das entsprechend der
Ansicht des OGH wieder passen. Problematisch ist nach Ansicht des
OGH auch der Fall, wenn aufgrund der Indexklausel die Indexierung
bereits in den ersten beiden Monaten ab Vertragsabschluss schlagend
werden könnte. Dem kann in der Praxis unter Umständen dadurch
entgangen werden, wenn entweder mit einer Schwellenwertklausel
(entweder 3 % oder 5 %) gearbeitet wird oder aber die
Indexierung ausdrücklich erst zu einem bestimmten Stichtag, welcher
erst mehr als zwei Monate nach Unterfertigung erreicht wird,
vorgenommen wird. Abschließend hat der OGH in seiner Entscheidung
auch nochmals angesprochen, dass eine Wertsicherung immer
zweiseitig sein muss. Auch die Senkung des Mietzinses muss daher
vorgesehen sein.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2875788" w:name="note5"/>
            <w:bookmarkEnd w:id="72875788"/>
            <w:bookmarkStart w:id="3456764521387" w:name="note5"/>
            <w:r>
              <w:rPr>
                <w:rFonts w:ascii="Arial" w:hAnsi="Arial" w:eastAsia="Arial" w:cs="Arial"/>
                <w:color w:val="000000"/>
                <w:position w:val="0"/>
                <w:sz w:val="20"/>
                <w:szCs w:val="20"/>
              </w:rPr>
              <w:t xml:space="preserve">[5]</w:t>
            </w:r>
            <w:bookmarkEnd w:id="345676452138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Entscheidung des OGH vom 10.09.2024, 10 Ob 23/24s, wurde
folgende Mietvertragsklausel einer Prüfung unterzogen:</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„Der Hauptmietzins wird wertgesichert nach dem
Gesamtbaukostenindex für den Wohnhaus- und Siedlungsbau (Basisjahr
2010) auf Basis des im Monat der beiderseitigen
Vertragsunterfertigung verlautbarten Indexwertes.</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Er verändert sich zu Beginn eines jeden Jahres im Verhältnis
des Indexwertes für September des jeweiligen abgelaufenen Jahres
zum Indexwert für den Basismonat. Die erstmalige Anpassung erfolgt
mit 01.01.2022.</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Dieser Indexwert bildet sodann auch die Basis für die
weitere Wertsicherung. Sollte der zugrundegelegte Index nicht mehr
verlautbart werden, gilt jener Index als Grundlage für die
Wertsicherung, der anstelle dieses Index verlautbart wird. In
Ermangelung eines solchen jener, der dem Gesamtkostenindex für den
Wohnhaus- und Siedlungsbau (Basisjahr 2010) am ehesten
entspricht.“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Festgestellt wurde, dass diese Klausel gegen § 6 Abs 1
Z 5 KSchG verstößt. Der OGH begründet seine Entscheidung
folgendermaßen: Wertsicherungsklauseln in Wohnungsmietverträgen
unternehmerischer Vermieter haben sich an den Erfordernissen des
§ 6 Abs 1 Z 5 KSchG messen zu lassen, welche dem
Schutz des Verbrauchers vor überraschenden und sachlich nicht
gerechtfertigten Preiserhöhungen dient. Sie bezweckt das
ursprünglich vereinbarte Entgelt, insbesondere bei längeren
Vertragslaufzeiten an die tatsächliche Geldwertänderung anzupassen.
Der OGH kommt letztendlich zum Ergebnis, dass die Klausel über die
Wertsicherung des Mietzinses nach dem Baukostenindex (für den Wohn-
und Siedlungsbau) nach § 6 Abs 1 Z 5 KSchG
unzulässig ist. Es fehlt an der erforderlichen sachlichen
Rechtfertigung der für die Entgeltänderung maßgeblichen Umstände.
Im Hinblick auf die Funktion der Wertsicherungsvereinbarung ist es
sachlich nicht gerechtfertigt, die Wertsicherung des Mietzinses
ausschließlich an die Entwicklung reiner Erhaltungskosten zu
knüpfen. Ein solches Vorgehen muss zwangsläufig zu einer Verzerrung
des ursprünglichen </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Äquivalenzverhältnisses</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
führen. Die Wertsicherung des Mietzinses nach der Entwicklung des
Baukostenindex vermag weder dadurch die konkrete Kostenentwicklung
unternehmerischer Vermieter noch die durchschnittliche
Marktentwicklung abzubilden.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0239013" w:name="note6"/>
            <w:bookmarkEnd w:id="90239013"/>
            <w:bookmarkStart w:id="1759708777292" w:name="note6"/>
            <w:r>
              <w:rPr>
                <w:rFonts w:ascii="Arial" w:hAnsi="Arial" w:eastAsia="Arial" w:cs="Arial"/>
                <w:color w:val="000000"/>
                <w:position w:val="0"/>
                <w:sz w:val="20"/>
                <w:szCs w:val="20"/>
              </w:rPr>
              <w:t xml:space="preserve">[6]</w:t>
            </w:r>
            <w:bookmarkEnd w:id="175970877729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Neue VfGH- &amp; OGH-Erkenntnisse zu
Wertsicherungsklauseln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des VfGH (24.06.2025, G170/2024-17,
G37-38/2025-1</w:t>
            </w:r>
          </w:p>
          <w:p>
            <w:pPr>
              <w:numPr>
                <w:ilvl w:val="0"/>
                <w:numId w:val="21714414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6 Abs 2 Z 4 KSchG ist nicht
verfassungswidrig.</w:t>
            </w:r>
          </w:p>
          <w:p>
            <w:pPr>
              <w:numPr>
                <w:ilvl w:val="0"/>
                <w:numId w:val="21714414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Gilt für Ziel- und Dauerschuldverhältnisse (zB Werkvertrag,
Mietvertrag).</w:t>
            </w:r>
          </w:p>
          <w:p>
            <w:pPr>
              <w:numPr>
                <w:ilvl w:val="0"/>
                <w:numId w:val="21714414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Verbraucher soll vor überraschenden/ungerechtfertigten
Preiserhöhungen geschützt werden.</w:t>
            </w:r>
          </w:p>
          <w:p>
            <w:pPr>
              <w:numPr>
                <w:ilvl w:val="0"/>
                <w:numId w:val="21714414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Einzelfall kann allerdings nicht automatisch von einer
Nichtigkeit der Wertsicherungsklausel und damit verbundenen
Rückforderung der geltend gemachten Erhöhungen, ausgegangen werden,
dazu muss man den gesamten Vertrag und die Verhältnisse
überprüfen.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Eine aktuelle Entscheidung des OGH macht nun deutlich, dass
nicht dem § 6 Abs 2 Z 4 KSchG entsprechende
Wertsicherungsklauseln in Mietverträgen nicht gleich zur Aufhebung
der gesamten Klausel (und somit nicht angepasste Mietzinse seit
Mietbeginn) führen müssen.</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Am 30.07.2025 entschied der OGH (10 Ob 15/25s) in
bemerkenswerter Abkehr von den bisherigen Entscheidungen in einem
„Wertsicherungsklausel-Prüfungsfall“ und schaffte damit Klarheit
für alle künftigen Streite bezüglich Anwendung der infrage
gestellten KSchG- Bestimmung.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der </w:t>
            </w:r>
            <w:r>
              <w:rPr>
                <w:rFonts w:ascii="Arial" w:hAnsi="Arial" w:eastAsia="Arial" w:cs="Arial"/>
                <w:color w:val="000000"/>
                <w:position w:val="0"/>
                <w:sz w:val="20"/>
                <w:szCs w:val="20"/>
              </w:rPr>
              <w:t xml:space="preserve">OGH-Entscheidung</w:t>
            </w:r>
            <w:r>
              <w:rPr>
                <w:rFonts w:ascii="Arial" w:hAnsi="Arial" w:eastAsia="Arial" w:cs="Arial"/>
                <w:color w:val="000000"/>
                <w:position w:val="0"/>
                <w:sz w:val="20"/>
                <w:szCs w:val="20"/>
              </w:rPr>
              <w:t xml:space="preserve">
(30.07.2025, 10 Ob 15/25s):</w:t>
            </w:r>
          </w:p>
          <w:p>
            <w:pPr>
              <w:numPr>
                <w:ilvl w:val="0"/>
                <w:numId w:val="4860357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Klarstellung: § 6 Abs 2 Z 4 KSchG nicht
anwendbar auf Dauerschuldverhältnisse, die länger als 2 Monate
dauern (zB Mietverträge)</w:t>
            </w:r>
          </w:p>
          <w:p>
            <w:pPr>
              <w:numPr>
                <w:ilvl w:val="0"/>
                <w:numId w:val="4860357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Nachdem Wohnungsmietverträgen in der Regel mindestens drei
Jahre andauern müssen (zumindest im Teil und Vollanwendungsbereich
des MRG) können Wertsicherungsklauseln nur aufgrund der allgemeinen
Grundsätze für Vertragsbestimmungen geprüft werden und sind nicht
„automatisch“ anfechtbar, weil der 2-Monate-Hinweis nicht enthalten
ist.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 (aus Verbandsklagen entnommen) für unzulässige
Klauseln</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mehrdeutige oder versteckt formulierte Klausel – es
fehlen konkrete Bezugsgrößen oder Stichtage</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Sittenwidrigkeit bzw unangemessene Benachteiligung: Klausel
verschiebt Preisrisiken unverhältnismäßig zulasten einer
Partei</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Einseitigkeit: Klausel sieht nur Mietzinserhöhungen vor, stellt
aber keine entsprechende Senkung bei Indexrückgang in Aussicht</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Ersatzindexregelung</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Rückwirkende Anpassung: Klausel bezieht bereits vor
Vertragsabschluss eingetretene Indexänderungen ein (das Verwenden
einer zuletzt verlautbarten Indexzahl ist nicht problematisch)</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Kein sachlicher Index: statt Verbraucherpreisindex wird der
Baukostenindex verwendet</w:t>
            </w:r>
          </w:p>
          <w:p>
            <w:pPr>
              <w:numPr>
                <w:ilvl w:val="0"/>
                <w:numId w:val="37672516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Intransparente Formulierungen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Für Individualverträge sind andere Maßstäbe anzusetzen, es kommt
– wie immer – auf den Einzelfall und die Verhältnisse an.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Praxistipp:</w:t>
            </w:r>
          </w:p>
          <w:p>
            <w:pPr>
              <w:numPr>
                <w:ilvl w:val="0"/>
                <w:numId w:val="7922187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Klare, eindeutige Formulierung mit Stichtag für erste
Anpassung</w:t>
            </w:r>
          </w:p>
          <w:p>
            <w:pPr>
              <w:numPr>
                <w:ilvl w:val="0"/>
                <w:numId w:val="7922187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Empfehlenswert: nur jährliche Anpassung, nicht monatlich</w:t>
            </w:r>
          </w:p>
          <w:p>
            <w:pPr>
              <w:numPr>
                <w:ilvl w:val="0"/>
                <w:numId w:val="79221871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Für Mieter: Rückforderung prüfen, aber Einzelfallbewertung
notwendig</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21871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7672516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8603579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714414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3154622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6682007">
    <w:multiLevelType w:val="hybridMultilevel"/>
    <w:lvl w:ilvl="0" w:tplc="63507655">
      <w:start w:val="1"/>
      <w:numFmt w:val="decimal"/>
      <w:lvlText w:val="%1."/>
      <w:lvlJc w:val="left"/>
      <w:pPr>
        <w:ind w:left="720" w:hanging="360"/>
      </w:pPr>
    </w:lvl>
    <w:lvl w:ilvl="1" w:tplc="63507655" w:tentative="1">
      <w:start w:val="1"/>
      <w:numFmt w:val="lowerLetter"/>
      <w:lvlText w:val="%2."/>
      <w:lvlJc w:val="left"/>
      <w:pPr>
        <w:ind w:left="1440" w:hanging="360"/>
      </w:pPr>
    </w:lvl>
    <w:lvl w:ilvl="2" w:tplc="63507655" w:tentative="1">
      <w:start w:val="1"/>
      <w:numFmt w:val="lowerRoman"/>
      <w:lvlText w:val="%3."/>
      <w:lvlJc w:val="right"/>
      <w:pPr>
        <w:ind w:left="2160" w:hanging="180"/>
      </w:pPr>
    </w:lvl>
    <w:lvl w:ilvl="3" w:tplc="63507655" w:tentative="1">
      <w:start w:val="1"/>
      <w:numFmt w:val="decimal"/>
      <w:lvlText w:val="%4."/>
      <w:lvlJc w:val="left"/>
      <w:pPr>
        <w:ind w:left="2880" w:hanging="360"/>
      </w:pPr>
    </w:lvl>
    <w:lvl w:ilvl="4" w:tplc="63507655" w:tentative="1">
      <w:start w:val="1"/>
      <w:numFmt w:val="lowerLetter"/>
      <w:lvlText w:val="%5."/>
      <w:lvlJc w:val="left"/>
      <w:pPr>
        <w:ind w:left="3600" w:hanging="360"/>
      </w:pPr>
    </w:lvl>
    <w:lvl w:ilvl="5" w:tplc="63507655" w:tentative="1">
      <w:start w:val="1"/>
      <w:numFmt w:val="lowerRoman"/>
      <w:lvlText w:val="%6."/>
      <w:lvlJc w:val="right"/>
      <w:pPr>
        <w:ind w:left="4320" w:hanging="180"/>
      </w:pPr>
    </w:lvl>
    <w:lvl w:ilvl="6" w:tplc="63507655" w:tentative="1">
      <w:start w:val="1"/>
      <w:numFmt w:val="decimal"/>
      <w:lvlText w:val="%7."/>
      <w:lvlJc w:val="left"/>
      <w:pPr>
        <w:ind w:left="5040" w:hanging="360"/>
      </w:pPr>
    </w:lvl>
    <w:lvl w:ilvl="7" w:tplc="63507655" w:tentative="1">
      <w:start w:val="1"/>
      <w:numFmt w:val="lowerLetter"/>
      <w:lvlText w:val="%8."/>
      <w:lvlJc w:val="left"/>
      <w:pPr>
        <w:ind w:left="5760" w:hanging="360"/>
      </w:pPr>
    </w:lvl>
    <w:lvl w:ilvl="8" w:tplc="63507655" w:tentative="1">
      <w:start w:val="1"/>
      <w:numFmt w:val="lowerRoman"/>
      <w:lvlText w:val="%9."/>
      <w:lvlJc w:val="right"/>
      <w:pPr>
        <w:ind w:left="6480" w:hanging="180"/>
      </w:pPr>
    </w:lvl>
  </w:abstractNum>
  <w:abstractNum w:abstractNumId="36682006">
    <w:multiLevelType w:val="hybridMultilevel"/>
    <w:lvl w:ilvl="0" w:tplc="63041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82006">
    <w:abstractNumId w:val="36682006"/>
  </w:num>
  <w:num w:numId="36682007">
    <w:abstractNumId w:val="36682007"/>
  </w:num>
  <w:num w:numId="931546228">
    <w:abstractNumId w:val="931546228"/>
  </w:num>
  <w:num w:numId="217144148">
    <w:abstractNumId w:val="217144148"/>
  </w:num>
  <w:num w:numId="486035798">
    <w:abstractNumId w:val="486035798"/>
  </w:num>
  <w:num w:numId="376725168">
    <w:abstractNumId w:val="376725168"/>
  </w:num>
  <w:num w:numId="792218715">
    <w:abstractNumId w:val="7922187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21856940" Type="http://schemas.openxmlformats.org/officeDocument/2006/relationships/numbering" Target="numbering.xml"/><Relationship Id="rId67320357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