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83513388" w:name="document"/>
    <w:bookmarkEnd w:id="83513388"/>
    <w:p/>
    <w:p>
      <w:pPr>
        <w:widowControl w:val="on"/>
        <w:pBdr/>
        <w:spacing w:before="0" w:after="280" w:line="240" w:lineRule="auto"/>
        <w:ind w:left="0" w:right="0"/>
        <w:jc w:val="left"/>
      </w:pPr>
      <w:r>
        <w:rPr>
          <w:rFonts w:ascii="Arial" w:hAnsi="Arial" w:eastAsia="Arial" w:cs="Arial"/>
          <w:color w:val="363A40"/>
          <w:sz w:val="24"/>
          <w:szCs w:val="24"/>
        </w:rPr>
        <w:t xml:space="preserve">Dokument-ID: 1186796 | Karin Zahiragic - Andrea
Weisert | Muster | Textbaustein</w:t>
      </w:r>
    </w:p>
    <w:p>
      <w:pPr>
        <w:widowControl w:val="on"/>
        <w:pBdr/>
        <w:spacing w:before="340" w:after="220" w:line="268" w:lineRule="auto"/>
        <w:ind w:left="0" w:right="0"/>
        <w:jc w:val="left"/>
        <w:outlineLvl w:val="0"/>
      </w:pPr>
      <w:r>
        <w:rPr>
          <w:rFonts w:ascii="Arial" w:hAnsi="Arial" w:eastAsia="Arial" w:cs="Arial"/>
          <w:color w:val="363A40"/>
          <w:sz w:val="36"/>
          <w:szCs w:val="36"/>
        </w:rPr>
        <w:t xml:space="preserve">Wertsicherung: Änderungen nach dem 5. MILG</w:t>
      </w:r>
    </w:p>
    <w:p>
      <w:pPr>
        <w:widowControl w:val="on"/>
        <w:pBdr/>
        <w:spacing w:before="240" w:after="60" w:line="346" w:lineRule="auto"/>
        <w:ind w:left="0" w:right="0"/>
        <w:jc w:val="left"/>
        <w:outlineLvl w:val="1"/>
      </w:pPr>
      <w:r>
        <w:rPr>
          <w:rFonts w:ascii="Arial" w:hAnsi="Arial" w:eastAsia="Arial" w:cs="Arial"/>
          <w:color w:val="363A40"/>
          <w:sz w:val="28"/>
          <w:szCs w:val="28"/>
        </w:rPr>
        <w:t xml:space="preserve">Vollanwendungsbereich MRG, Richtwertmietzins</w:t>
      </w:r>
    </w:p>
    <w:p>
      <w:pPr>
        <w:widowControl w:val="on"/>
        <w:pBdr/>
        <w:spacing w:before="140" w:after="240" w:line="288" w:lineRule="auto"/>
        <w:ind w:left="0" w:right="0"/>
        <w:jc w:val="left"/>
      </w:pPr>
      <w:r>
        <w:rPr>
          <w:rFonts w:ascii="Arial" w:hAnsi="Arial" w:eastAsia="Arial" w:cs="Arial"/>
          <w:color w:val="000000"/>
          <w:sz w:val="20"/>
          <w:szCs w:val="20"/>
        </w:rPr>
        <w:t xml:space="preserve">Der vereinbarte Hauptmietzins wird „wertgesichert gem § 1
Abs 2 und Abs 3 MieWeG“ vereinbart.</w:t>
      </w:r>
    </w:p>
    <w:p>
      <w:pPr>
        <w:widowControl w:val="on"/>
        <w:pBdr/>
        <w:spacing w:before="140" w:after="240" w:line="288" w:lineRule="auto"/>
        <w:ind w:left="0" w:right="0"/>
        <w:jc w:val="left"/>
      </w:pPr>
      <w:r>
        <w:rPr>
          <w:rFonts w:ascii="Arial" w:hAnsi="Arial" w:eastAsia="Arial" w:cs="Arial"/>
          <w:color w:val="000000"/>
          <w:sz w:val="20"/>
          <w:szCs w:val="20"/>
        </w:rPr>
        <w:t xml:space="preserve">Der vereinbarte Hauptmietzins wird nach § 5 Richtwertgesetz
(RichtWG) unter Zugrundelegung des Richtwertmietzinses, sowie Zu-
und Abschläge und eines Lagezuschlags berechnet.</w:t>
      </w:r>
    </w:p>
    <w:p>
      <w:pPr>
        <w:widowControl w:val="on"/>
        <w:pBdr/>
        <w:spacing w:before="140" w:after="240" w:line="288" w:lineRule="auto"/>
        <w:ind w:left="0" w:right="0"/>
        <w:jc w:val="left"/>
      </w:pPr>
      <w:r>
        <w:rPr>
          <w:rFonts w:ascii="Arial" w:hAnsi="Arial" w:eastAsia="Arial" w:cs="Arial"/>
          <w:color w:val="000000"/>
          <w:sz w:val="20"/>
          <w:szCs w:val="20"/>
        </w:rPr>
        <w:t xml:space="preserve">Ausgangsbasis für die Wertsicherung ist der im Zeitpunkt des
Vertragsabschlusses wirksame Richtwert.</w:t>
      </w:r>
    </w:p>
    <w:p>
      <w:pPr>
        <w:widowControl w:val="on"/>
        <w:pBdr/>
        <w:spacing w:before="140" w:after="240" w:line="288" w:lineRule="auto"/>
        <w:ind w:left="0" w:right="0"/>
        <w:jc w:val="left"/>
      </w:pPr>
      <w:r>
        <w:rPr>
          <w:rFonts w:ascii="Arial" w:hAnsi="Arial" w:eastAsia="Arial" w:cs="Arial"/>
          <w:color w:val="000000"/>
          <w:sz w:val="20"/>
          <w:szCs w:val="20"/>
        </w:rPr>
        <w:t xml:space="preserve">Wenn aufgrund gesetzlicher Änderungen die Wertsicherung nicht
mehr möglich sein sollte, erfolgt eine solche nach dem von der
Bundesanstalt Statistik Austria monatlich verlautbarten
Verbraucherpreisindex 2020 oder dem an seine Stelle tretenden
Index.</w:t>
      </w:r>
    </w:p>
    <w:p>
      <w:pPr>
        <w:widowControl w:val="on"/>
        <w:pBdr/>
        <w:spacing w:before="140" w:after="240" w:line="288" w:lineRule="auto"/>
        <w:ind w:left="0" w:right="0"/>
        <w:jc w:val="left"/>
      </w:pPr>
      <w:r>
        <w:rPr>
          <w:rFonts w:ascii="Arial" w:hAnsi="Arial" w:eastAsia="Arial" w:cs="Arial"/>
          <w:color w:val="000000"/>
          <w:sz w:val="20"/>
          <w:szCs w:val="20"/>
        </w:rPr>
        <w:t xml:space="preserve">Indexschwankungen bleiben bis 3 % unberücksichtigt.</w:t>
      </w:r>
    </w:p>
    <w:p>
      <w:pPr>
        <w:widowControl w:val="on"/>
        <w:pBdr/>
        <w:spacing w:before="140" w:after="240" w:line="288" w:lineRule="auto"/>
        <w:ind w:left="0" w:right="0"/>
        <w:jc w:val="left"/>
      </w:pPr>
      <w:r>
        <w:rPr>
          <w:rFonts w:ascii="Arial" w:hAnsi="Arial" w:eastAsia="Arial" w:cs="Arial"/>
          <w:color w:val="000000"/>
          <w:sz w:val="20"/>
          <w:szCs w:val="20"/>
        </w:rPr>
        <w:t xml:space="preserve">Die durch die Wertsicherung eingetretene Erhöhung des Mietzinses
wird dem Mieter vom Vermieter schriftlich bekannt gegeben, dies
spätestens 14 Tage vor dem Zeitraum, zu dem dann der Mieter zur
Bezahlung des erhöhten Betrages verpflichtet ist.</w:t>
      </w:r>
    </w:p>
    <w:p>
      <w:pPr>
        <w:widowControl w:val="on"/>
        <w:pBdr/>
        <w:spacing w:before="400" w:after="60" w:line="346" w:lineRule="auto"/>
        <w:ind w:left="0" w:right="0"/>
        <w:jc w:val="left"/>
        <w:outlineLvl w:val="1"/>
      </w:pPr>
      <w:r>
        <w:rPr>
          <w:rFonts w:ascii="Arial" w:hAnsi="Arial" w:eastAsia="Arial" w:cs="Arial"/>
          <w:color w:val="363A40"/>
          <w:sz w:val="28"/>
          <w:szCs w:val="28"/>
        </w:rPr>
        <w:t xml:space="preserve">Teilanwendungsbereich MRG</w:t>
      </w:r>
    </w:p>
    <w:p>
      <w:pPr>
        <w:widowControl w:val="on"/>
        <w:pBdr/>
        <w:spacing w:before="140" w:after="240" w:line="288" w:lineRule="auto"/>
        <w:ind w:left="0" w:right="0"/>
        <w:jc w:val="left"/>
      </w:pPr>
      <w:r>
        <w:rPr>
          <w:rFonts w:ascii="Arial" w:hAnsi="Arial" w:eastAsia="Arial" w:cs="Arial"/>
          <w:color w:val="000000"/>
          <w:sz w:val="20"/>
          <w:szCs w:val="20"/>
        </w:rPr>
        <w:t xml:space="preserve">Der Hauptmietzins beträgt monatlich EUR … zuzüglich
Umsatzsteuer und wird „wertgesichert gem § 1 Abs 2 des
Mieten-Wertsicherungsgesetzes“ vereinbart:</w:t>
      </w:r>
    </w:p>
    <w:p>
      <w:pPr>
        <w:widowControl w:val="on"/>
        <w:pBdr/>
        <w:spacing w:before="140" w:after="240" w:line="288" w:lineRule="auto"/>
        <w:ind w:left="0" w:right="0"/>
        <w:jc w:val="left"/>
      </w:pPr>
      <w:r>
        <w:rPr>
          <w:rFonts w:ascii="Arial" w:hAnsi="Arial" w:eastAsia="Arial" w:cs="Arial"/>
          <w:color w:val="000000"/>
          <w:sz w:val="20"/>
          <w:szCs w:val="20"/>
        </w:rPr>
        <w:t xml:space="preserve">Der Hauptmietzins wird auf den von der Statistik Austria
verlautbarten monatlichen Index der Verbraucherpreise 2020 oder –
sollte dieser Index nicht mehr verlautbart werden – einen an seine
Stelle tretenden Index wertbezogen. Ausgangsbasis für diese
Wertsicherung ist die für den Monat … errechnete endgültig
verlautbarte Indexzahl.</w:t>
      </w:r>
    </w:p>
    <w:p>
      <w:pPr>
        <w:widowControl w:val="on"/>
        <w:pBdr/>
        <w:spacing w:before="140" w:after="240" w:line="288" w:lineRule="auto"/>
        <w:ind w:left="0" w:right="0"/>
        <w:jc w:val="left"/>
      </w:pPr>
      <w:r>
        <w:rPr>
          <w:rFonts w:ascii="Arial" w:hAnsi="Arial" w:eastAsia="Arial" w:cs="Arial"/>
          <w:color w:val="000000"/>
          <w:sz w:val="20"/>
          <w:szCs w:val="20"/>
        </w:rPr>
        <w:t xml:space="preserve">Die durch die Wertsicherung eingetretene Erhöhung des Mietzinses
wird dem Mieter vom Vermieter schriftlich bekannt gegeben, dies
spätestens 14 Tage vor dem Zinstermin, zu dem dann der Mieter zur
Bezahlung des erhöhten Betrages verpflichtet ist.</w:t>
      </w:r>
    </w:p>
    <w:p>
      <w:pPr>
        <w:widowControl w:val="on"/>
        <w:pBdr/>
        <w:spacing w:before="400" w:after="60" w:line="346" w:lineRule="auto"/>
        <w:ind w:left="0" w:right="0"/>
        <w:jc w:val="left"/>
        <w:outlineLvl w:val="1"/>
      </w:pPr>
      <w:r>
        <w:rPr>
          <w:rFonts w:ascii="Arial" w:hAnsi="Arial" w:eastAsia="Arial" w:cs="Arial"/>
          <w:color w:val="363A40"/>
          <w:sz w:val="28"/>
          <w:szCs w:val="28"/>
        </w:rPr>
        <w:t xml:space="preserve">Anmerkungen:</w:t>
      </w:r>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35477852" w:name="note1"/>
            <w:bookmarkEnd w:id="35477852"/>
            <w:bookmarkStart w:id="8916837500444" w:name="note1"/>
            <w:r>
              <w:rPr>
                <w:rFonts w:ascii="Arial" w:hAnsi="Arial" w:eastAsia="Arial" w:cs="Arial"/>
                <w:color w:val="000000"/>
                <w:position w:val="0"/>
                <w:sz w:val="20"/>
                <w:szCs w:val="20"/>
              </w:rPr>
              <w:t xml:space="preserve">[1]</w:t>
            </w:r>
            <w:bookmarkEnd w:id="8916837500444"/>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Mit einer Wertsicherungsvereinbarung soll ein Ausgleich für die
Inflation geschaffen werden. Eine Erhöhung des Mietzinses aufgrund
der Wertsicherung ist jedenfalls nur möglich, wenn die
Wertsicherung im Mietvertrag entsprechend vereinbart wurde. Welcher
Index vereinbart und wie die Indexklausel formuliert wird, ist
gesetzlich nicht geregelt. Üblicherweise wird in einer
Wertsicherungsvereinbarung der von der Statistik Austria zum
Zeitpunkt des Vertragsabschlusses gültige veröffentlichte aktuelle
Verbraucherpreisindex (VPI 2020) als Grundlage herangezogen. Häufig
wird vertraglich auch geregelt, dass Indexschwankungen bis zu
3 % oder 5 % unberücksichtigt bleiben.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24237286" w:name="note2"/>
            <w:bookmarkEnd w:id="24237286"/>
            <w:bookmarkStart w:id="3803111773809" w:name="note2"/>
            <w:r>
              <w:rPr>
                <w:rFonts w:ascii="Arial" w:hAnsi="Arial" w:eastAsia="Arial" w:cs="Arial"/>
                <w:color w:val="000000"/>
                <w:position w:val="0"/>
                <w:sz w:val="20"/>
                <w:szCs w:val="20"/>
              </w:rPr>
              <w:t xml:space="preserve">[2]</w:t>
            </w:r>
            <w:bookmarkEnd w:id="3803111773809"/>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color w:val="363A40"/>
                <w:position w:val="0"/>
                <w:sz w:val="22"/>
                <w:szCs w:val="22"/>
              </w:rPr>
              <w:t xml:space="preserve">Wertsicherung im Vollanwendungsbereich MRG,
Richtwertmietzins</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Mit dem 5. MILG ist auch § 5 Abs 2 Richtwertgesetz
geändert worden. Diese Änderung sieht im Wesentlichen vor, dass die
gesetzliche Valorisierung der mietrechtlichen Kategoriebeträge und
der mietrechtlichen Richtwerte mit der Systematik des MieWeG
gleichgeschaltet wird. Dies heißt: Es gibt im Jahr 2026 eine
Anhebungsgrenze von 1 % und im Jahr 2027 eine solche von
2 % gibt. Ab dem Jahr 2028 wird bei einer Vorjahresinflation
von mehr als 3 % der Teil, der 3 % übersteigt, im Rahmen
der Mietzinserhöhung nur zur Hälfte berücksichtigt.</w:t>
            </w:r>
          </w:p>
          <w:p>
            <w:pPr>
              <w:widowControl w:val="on"/>
              <w:pBdr/>
              <w:spacing w:before="0" w:after="0" w:line="288" w:lineRule="auto"/>
              <w:ind w:left="0" w:right="0"/>
              <w:jc w:val="left"/>
              <w:textAlignment w:val="top"/>
            </w:pPr>
            <w:r>
              <w:rPr>
                <w:rFonts w:ascii="Arial" w:hAnsi="Arial" w:eastAsia="Arial" w:cs="Arial"/>
                <w:color w:val="277DB9"/>
                <w:position w:val="0"/>
                <w:sz w:val="25"/>
                <w:szCs w:val="25"/>
              </w:rPr>
              <w:t xml:space="preserve">Beispiel:</w:t>
            </w:r>
          </w:p>
          <w:p>
            <w:pPr>
              <w:widowControl w:val="on"/>
              <w:pBdr/>
              <w:spacing w:before="0" w:after="0" w:line="288" w:lineRule="auto"/>
              <w:ind w:left="0" w:right="0"/>
              <w:jc w:val="left"/>
              <w:textAlignment w:val="top"/>
            </w:pPr>
            <w:r>
              <w:rPr>
                <w:rFonts w:ascii="Arial" w:hAnsi="Arial" w:eastAsia="Arial" w:cs="Arial"/>
                <w:color w:val="277DB9"/>
                <w:position w:val="0"/>
                <w:sz w:val="20"/>
                <w:szCs w:val="20"/>
              </w:rPr>
              <w:t xml:space="preserve">Beträgt die Veränderung der mietrechtlichen Rechtwerte
4,6 %, dürfen nur 3,8 % berücksichtigt werden (3 % +
die Hälfte von 1,6 %= 0 0,8 % = 3,8 %).</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In einem Wohnungsmietvertrag kann gem § 2 MieWeG eine
Wertsicherung auch durch bloße Bezugnahme auf § 1 Abs 2
MieWeG sowie gegebenenfalls auf § 1 Abs 3 MieWeG wirksam
vereinbart werden.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 2 MieWeG gilt auch für Richtwertmietzinse.</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58621436" w:name="note3"/>
            <w:bookmarkEnd w:id="58621436"/>
            <w:bookmarkStart w:id="6816961249720" w:name="note3"/>
            <w:r>
              <w:rPr>
                <w:rFonts w:ascii="Arial" w:hAnsi="Arial" w:eastAsia="Arial" w:cs="Arial"/>
                <w:color w:val="000000"/>
                <w:position w:val="0"/>
                <w:sz w:val="20"/>
                <w:szCs w:val="20"/>
              </w:rPr>
              <w:t xml:space="preserve">[3]</w:t>
            </w:r>
            <w:bookmarkEnd w:id="6816961249720"/>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color w:val="363A40"/>
                <w:position w:val="0"/>
                <w:sz w:val="22"/>
                <w:szCs w:val="22"/>
              </w:rPr>
              <w:t xml:space="preserve">Wertsicherung im Teilanwendungsbereich des MRG</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Unter Wertsicherung versteht man die Anpassung des Mietzinses an
die Inflationsentwicklung.</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Eine solche Anpassung erfolgt – mit wenigen Ausnahmen – nicht
automatisch, sondern setzt eine vertraglich vereinbarte
Wertsicherungsklausel voraus. Fehlt eine derartige Vereinbarung,
kann eine Wertsicherung nicht geltend gemacht werden und der
Mietzins inflationsbedingt nicht angepasst werden.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Im Einzelfall kann eine durch Wertsicherung dem Mieter
bekanntgegebene Erhöhung des Mietzinses gegen § 879 ABGB
verstoßen, weil die Mietzinserhöhung sachlich nicht gerechtfertigt
ist (vgl 10 Ob 23/24s). Auch kann sie aufgrund der vor dem
Mietbeginn liegenden Ausgangsbasis ungewöhnlich iSd § 864a
ABGB sein (vgl 10 Ob15/25s).</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Das 5. MILG, welches am 01.01.2026 in Österreich in Kraft
getreten ist, brachte Änderungen für Wohnungsmietverträge.
Bestandteil des 5. MILG ist das Mieten-Wertsicherungsgesetz (kurz:
MieWeG). Mit dem MieWeG soll ein einheitliches, gesetzlich
vorgegebenes Modell für Wertsicherungsklauseln bei
Wohnungsmietverträgen geschaffen werden. Es gilt sowohl für ab
01.01.2026 abgeschlossene Mietverträge als auch für Mietverträge,
die bereits vor dem 01.01.2026 abgeschlossen wurden. Es umfasst
Wohnungsmietverträge, also Haupt- und Untermietverträge über
Wohnungen im Anwendungsbereich des MRG, eischließlich der in
§ 1 Abs 4 MRG genannten Sonderfälle. Der Mietzins
verändert sich erstmals am 01.04. des Kalenderjahres nach
Vertragsabschluss und in weiterer Folge jährlich am 1. April.
Maßstab bildet die durchschnittliche Veränderung des VPI 2020 im
Kalenderjahr vor dem Valorisierungszeitpunkt. Nach dem
Berechnungsmechanismus des MieWeG erfolgen Valorisierungen der
Mietzinse zum 1. April eines jeden Jahres. Betraglich sind die
jährlichen Mietzinserhöhungen insofern beschränkt, als bei einer
nach der durchschnittlichen Veränderung des VPI 2020 zu
ermittelnden Vorjahresinflation, die 3 % übersteigt, der
3 %-liegende übersteigende Teil nur zur Hälfte in die
Mietzinserhöhung eingerechnet wird. Die errechnete Veränderung wird
nur im Ausmaß der vollen Monate des vor dem Valorisierungszeitpunkt
liegenden Kalenderjahres seit Vertragsabschluss berücksichtigt.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In einem Wohnungsmietvertrag im Teil- und Vollanwendungsbereich
des MRG kann gem § 2 MietWeG eine Wertsicherung auch durch
bloße Bezugnahme auf § 1 Abs 2
Mieten-Wertsicherungsgesetz sowie gegebenenfalls § 1
Abs 3 Mieten-Wertsicherungsgesetz vereinbart werden, etwa
indem im Zusammenhang mit der Festlegung des Entgelts die Wendung
„wertgesichert gem § 1 Abs 2 Mieten-Wertsicherungsgesetz“
angeführt wird oder indem bei Wohnungsmietverträgen, auf die
Mietzinsbeschränkungen des MRG Anwendung finden und die vor dem
01.12.2026 abgeschlossen werden die Wendung „wertgesichert gem
§ 1 Abs 2 und Abs 3 des
Mieten-Wertsicherungsgesetzes“ angeführt wird.</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 4 Abs 3 MieWG sieht folgende Verjährungs- und
Rückforderungsbestimmungen im Falle von unwirksamen
Wertsicherungsklauseln vor: Ist bei einem Altmietvertrag eine
Wertsicherungsvereinbarung unwirksam, sind daraus resultierende
Rückforderungsansprüche auf Zahlungen beschränkt, die in den
letzten fünf Jahren vor Vertragsbeendigung geleistet wurden. Ist
das Vertragsverhältnis im Zeitpunkt der Kenntnis der
Rechtsunwirksamkeit und des Rückforderungsanspruchs noch aufrecht,
gilt diese Beschränkung auf Zahlungen, die in den letzten fünf
Jahren vor dieser Kenntnis geleistet wurden. Die
Rückforderungsansprüche verjähren in drei Jahren ab Kenntnis der
Rechtsunwirksamkeit und des Rückforderungsanspruchs, längstens aber
in 30 Jahren ab Zahlung. Diese Begrenzung gilt nur für Altverträge
(vor dem 01.01.2026 abgeschlossene Wohnungsmietverträge), also
nicht für Neuverträge und nicht für MRG-Vollausnahmen, wie etwa
Mietverträge über Wohnungen in Ein- oder Zwei-Objekte-Häusern.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70120311" w:name="note4"/>
            <w:bookmarkEnd w:id="70120311"/>
            <w:bookmarkStart w:id="8866376422530" w:name="note4"/>
            <w:r>
              <w:rPr>
                <w:rFonts w:ascii="Arial" w:hAnsi="Arial" w:eastAsia="Arial" w:cs="Arial"/>
                <w:color w:val="000000"/>
                <w:position w:val="0"/>
                <w:sz w:val="20"/>
                <w:szCs w:val="20"/>
              </w:rPr>
              <w:t xml:space="preserve">[4]</w:t>
            </w:r>
            <w:bookmarkEnd w:id="8866376422530"/>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In der Klauselentscheidung des OGH vom 21.03.2023, 2 Ob 36/23t
handelt es sich um Mietverträge, auf die das KSchG anzuwenden ist.
Nach dieser Entscheidung sind zusammengefasst
Wertsicherungsklauseln nichtig, wenn beispielsweise die folgende
Formulierung verwendet wird: </w:t>
            </w:r>
            <w:r>
              <w:rPr>
                <w:rFonts w:ascii="Arial" w:hAnsi="Arial" w:eastAsia="Arial" w:cs="Arial"/>
                <w:i/>
                <w:iCs/>
                <w:color w:val="000000"/>
                <w:position w:val="0"/>
                <w:sz w:val="20"/>
                <w:szCs w:val="20"/>
              </w:rPr>
              <w:t xml:space="preserve">„Sollte dieser Index nicht
verlautbart werden, gilt jener als Grundlage für die Wertsicherung,
der diesem Index am meisten entspricht.“</w:t>
            </w:r>
            <w:r>
              <w:rPr>
                <w:rFonts w:ascii="Arial" w:hAnsi="Arial" w:eastAsia="Arial" w:cs="Arial"/>
                <w:color w:val="000000"/>
                <w:position w:val="0"/>
                <w:sz w:val="20"/>
                <w:szCs w:val="20"/>
              </w:rPr>
              <w:t xml:space="preserve"> Der OGH begründet die
Nichtigkeit damit, dass nicht klar sei, wer entscheidet, welcher
Index dem idR VPI am meisten entspricht. Wenn also anstatt der
Wortfolge </w:t>
            </w:r>
            <w:r>
              <w:rPr>
                <w:rFonts w:ascii="Arial" w:hAnsi="Arial" w:eastAsia="Arial" w:cs="Arial"/>
                <w:i/>
                <w:iCs/>
                <w:color w:val="000000"/>
                <w:position w:val="0"/>
                <w:sz w:val="20"/>
                <w:szCs w:val="20"/>
              </w:rPr>
              <w:t xml:space="preserve">„diesem Index am meisten entspricht“</w:t>
            </w:r>
            <w:r>
              <w:rPr>
                <w:rFonts w:ascii="Arial" w:hAnsi="Arial" w:eastAsia="Arial" w:cs="Arial"/>
                <w:color w:val="000000"/>
                <w:position w:val="0"/>
                <w:sz w:val="20"/>
                <w:szCs w:val="20"/>
              </w:rPr>
              <w:t xml:space="preserve"> formuliert
wird </w:t>
            </w:r>
            <w:r>
              <w:rPr>
                <w:rFonts w:ascii="Arial" w:hAnsi="Arial" w:eastAsia="Arial" w:cs="Arial"/>
                <w:i/>
                <w:iCs/>
                <w:color w:val="000000"/>
                <w:position w:val="0"/>
                <w:sz w:val="20"/>
                <w:szCs w:val="20"/>
              </w:rPr>
              <w:t xml:space="preserve">„an dessen Stelle tritt“</w:t>
            </w:r>
            <w:r>
              <w:rPr>
                <w:rFonts w:ascii="Arial" w:hAnsi="Arial" w:eastAsia="Arial" w:cs="Arial"/>
                <w:color w:val="000000"/>
                <w:position w:val="0"/>
                <w:sz w:val="20"/>
                <w:szCs w:val="20"/>
              </w:rPr>
              <w:t xml:space="preserve">, würde das entsprechend der
Ansicht des OGH wieder passen. Problematisch ist nach Ansicht des
OGH auch der Fall, wenn aufgrund der Indexklausel die Indexierung
bereits in den ersten beiden Monaten ab Vertragsabschluss schlagend
werden könnte. Dem kann in der Praxis unter Umständen dadurch
entgangen werden, wenn entweder mit einer Schwellenwertklausel
(entweder 3 % oder 5 %) gearbeitet wird oder aber die
Indexierung ausdrücklich erst zu einem bestimmten Stichtag, welcher
erst mehr als zwei Monate nach Unterfertigung erreicht wird,
vorgenommen wird. Abschließend hat der OGH in seiner Entscheidung
auch nochmals angesprochen, dass eine Wertsicherung immer
zweiseitig sein muss. Auch die Senkung des Mietzinses muss daher
vorgesehen sein.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76130760" w:name="note5"/>
            <w:bookmarkEnd w:id="76130760"/>
            <w:bookmarkStart w:id="6020460831960" w:name="note5"/>
            <w:r>
              <w:rPr>
                <w:rFonts w:ascii="Arial" w:hAnsi="Arial" w:eastAsia="Arial" w:cs="Arial"/>
                <w:color w:val="000000"/>
                <w:position w:val="0"/>
                <w:sz w:val="20"/>
                <w:szCs w:val="20"/>
              </w:rPr>
              <w:t xml:space="preserve">[5]</w:t>
            </w:r>
            <w:bookmarkEnd w:id="6020460831960"/>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In der Entscheidung des OGH vom 10.09.2024, 10 Ob 23/24s, wurde
folgende Mietvertragsklausel einer Prüfung unterzogen:</w:t>
            </w:r>
          </w:p>
          <w:p>
            <w:pPr>
              <w:widowControl w:val="on"/>
              <w:pBdr/>
              <w:spacing w:before="0" w:after="0" w:line="288" w:lineRule="auto"/>
              <w:ind w:left="0" w:right="0"/>
              <w:jc w:val="left"/>
              <w:textAlignment w:val="top"/>
            </w:pPr>
            <w:r>
              <w:rPr>
                <w:rFonts w:ascii="Arial" w:hAnsi="Arial" w:eastAsia="Arial" w:cs="Arial"/>
                <w:i/>
                <w:iCs/>
                <w:color w:val="000000"/>
                <w:position w:val="0"/>
                <w:sz w:val="20"/>
                <w:szCs w:val="20"/>
              </w:rPr>
              <w:t xml:space="preserve">„Der Hauptmietzins wird wertgesichert nach dem
Gesamtbaukostenindex für den Wohnhaus- und Siedlungsbau (Basisjahr
2010) auf Basis des im Monat der beiderseitigen
Vertragsunterfertigung verlautbarten Indexwertes.</w:t>
            </w:r>
          </w:p>
          <w:p>
            <w:pPr>
              <w:widowControl w:val="on"/>
              <w:pBdr/>
              <w:spacing w:before="0" w:after="0" w:line="288" w:lineRule="auto"/>
              <w:ind w:left="0" w:right="0"/>
              <w:jc w:val="left"/>
              <w:textAlignment w:val="top"/>
            </w:pPr>
            <w:r>
              <w:rPr>
                <w:rFonts w:ascii="Arial" w:hAnsi="Arial" w:eastAsia="Arial" w:cs="Arial"/>
                <w:i/>
                <w:iCs/>
                <w:color w:val="000000"/>
                <w:position w:val="0"/>
                <w:sz w:val="20"/>
                <w:szCs w:val="20"/>
              </w:rPr>
              <w:t xml:space="preserve">Er verändert sich zu Beginn eines jeden Jahres im Verhältnis
des Indexwertes für September des jeweiligen abgelaufenen Jahres
zum Indexwert für den Basismonat. Die erstmalige Anpassung erfolgt
mit 01.01.2022.</w:t>
            </w:r>
          </w:p>
          <w:p>
            <w:pPr>
              <w:widowControl w:val="on"/>
              <w:pBdr/>
              <w:spacing w:before="0" w:after="0" w:line="288" w:lineRule="auto"/>
              <w:ind w:left="0" w:right="0"/>
              <w:jc w:val="left"/>
              <w:textAlignment w:val="top"/>
            </w:pPr>
            <w:r>
              <w:rPr>
                <w:rFonts w:ascii="Arial" w:hAnsi="Arial" w:eastAsia="Arial" w:cs="Arial"/>
                <w:i/>
                <w:iCs/>
                <w:color w:val="000000"/>
                <w:position w:val="0"/>
                <w:sz w:val="20"/>
                <w:szCs w:val="20"/>
              </w:rPr>
              <w:t xml:space="preserve">Dieser Indexwert bildet sodann auch die Basis für die
weitere Wertsicherung. Sollte der zugrundegelegte Index nicht mehr
verlautbart werden, gilt jener Index als Grundlage für die
Wertsicherung, der anstelle dieses Index verlautbart wird. In
Ermangelung eines solchen jener, der dem Gesamtkostenindex für den
Wohnhaus- und Siedlungsbau (Basisjahr 2010) am ehesten
entspricht.“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Festgestellt wurde, dass diese Klausel gegen § 6 Abs 1
Z 5 KSchG verstößt. Der OGH begründet seine Entscheidung
folgendermaßen: Wertsicherungsklauseln in Wohnungsmietverträgen
unternehmerischer Vermieter haben sich an den Erfordernissen des
§ 6 Abs 1 Z 5 KSchG messen zu lassen, welche dem
Schutz des Verbrauchers vor überraschenden und sachlich nicht
gerechtfertigten Preiserhöhungen dient. Sie bezweckt das
ursprünglich vereinbarte Entgelt, insbesondere bei längeren
Vertragslaufzeiten an die tatsächliche Geldwertänderung anzupassen.
Der OGH kommt letztendlich zum Ergebnis, dass die Klausel über die
Wertsicherung des Mietzinses nach dem Baukostenindex (für den Wohn-
und Siedlungsbau) nach § 6 Abs 1 Z 5 KSchG
unzulässig ist. Es fehlt an der erforderlichen sachlichen
Rechtfertigung der für die Entgeltänderung maßgeblichen Umstände.
Im Hinblick auf die Funktion der Wertsicherungsvereinbarung ist es
sachlich nicht gerechtfertigt, die Wertsicherung des Mietzinses
ausschließlich an die Entwicklung reiner Erhaltungskosten zu
knüpfen. Ein solches Vorgehen muss zwangsläufig zu einer Verzerrung
des ursprünglichen </w:t>
            </w:r>
            <w:r>
              <w:rPr>
                <w:rFonts w:ascii="Arial" w:hAnsi="Arial" w:eastAsia="Arial" w:cs="Arial"/>
                <w:i/>
                <w:iCs/>
                <w:color w:val="000000"/>
                <w:position w:val="0"/>
                <w:sz w:val="20"/>
                <w:szCs w:val="20"/>
              </w:rPr>
              <w:t xml:space="preserve">„</w:t>
            </w:r>
            <w:r>
              <w:rPr>
                <w:rFonts w:ascii="Arial" w:hAnsi="Arial" w:eastAsia="Arial" w:cs="Arial"/>
                <w:color w:val="000000"/>
                <w:position w:val="0"/>
                <w:sz w:val="20"/>
                <w:szCs w:val="20"/>
              </w:rPr>
              <w:t xml:space="preserve">Äquivalenzverhältnisses</w:t>
            </w:r>
            <w:r>
              <w:rPr>
                <w:rFonts w:ascii="Arial" w:hAnsi="Arial" w:eastAsia="Arial" w:cs="Arial"/>
                <w:i/>
                <w:iCs/>
                <w:color w:val="000000"/>
                <w:position w:val="0"/>
                <w:sz w:val="20"/>
                <w:szCs w:val="20"/>
              </w:rPr>
              <w:t xml:space="preserve">“</w:t>
            </w:r>
            <w:r>
              <w:rPr>
                <w:rFonts w:ascii="Arial" w:hAnsi="Arial" w:eastAsia="Arial" w:cs="Arial"/>
                <w:color w:val="000000"/>
                <w:position w:val="0"/>
                <w:sz w:val="20"/>
                <w:szCs w:val="20"/>
              </w:rPr>
              <w:t xml:space="preserve">
führen. Die Wertsicherung des Mietzinses nach der Entwicklung des
Baukostenindex vermag weder dadurch die konkrete Kostenentwicklung
unternehmerischer Vermieter noch die durchschnittliche
Marktentwicklung abzubilden.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8999094" w:name="note6"/>
            <w:bookmarkEnd w:id="8999094"/>
            <w:bookmarkStart w:id="2094851831216" w:name="note6"/>
            <w:r>
              <w:rPr>
                <w:rFonts w:ascii="Arial" w:hAnsi="Arial" w:eastAsia="Arial" w:cs="Arial"/>
                <w:color w:val="000000"/>
                <w:position w:val="0"/>
                <w:sz w:val="20"/>
                <w:szCs w:val="20"/>
              </w:rPr>
              <w:t xml:space="preserve">[6]</w:t>
            </w:r>
            <w:bookmarkEnd w:id="2094851831216"/>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color w:val="363A40"/>
                <w:position w:val="0"/>
                <w:sz w:val="22"/>
                <w:szCs w:val="22"/>
              </w:rPr>
              <w:t xml:space="preserve">Neue VfGH- &amp; OGH-Erkenntnisse zu
Wertsicherungsklauseln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Conclusio des VfGH (24.06.2025, G170/2024-17,
G37-38/2025-1</w:t>
            </w:r>
          </w:p>
          <w:p>
            <w:pPr>
              <w:numPr>
                <w:ilvl w:val="0"/>
                <w:numId w:val="171558062"/>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 6 Abs 2 Z 4 KSchG ist nicht
verfassungswidrig.</w:t>
            </w:r>
          </w:p>
          <w:p>
            <w:pPr>
              <w:numPr>
                <w:ilvl w:val="0"/>
                <w:numId w:val="171558062"/>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Gilt für Ziel- und Dauerschuldverhältnisse (zB Werkvertrag,
Mietvertrag).</w:t>
            </w:r>
          </w:p>
          <w:p>
            <w:pPr>
              <w:numPr>
                <w:ilvl w:val="0"/>
                <w:numId w:val="171558062"/>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Verbraucher soll vor überraschenden/ungerechtfertigten
Preiserhöhungen geschützt werden.</w:t>
            </w:r>
          </w:p>
          <w:p>
            <w:pPr>
              <w:numPr>
                <w:ilvl w:val="0"/>
                <w:numId w:val="171558062"/>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Im Einzelfall kann allerdings nicht automatisch von einer
Nichtigkeit der Wertsicherungsklausel und damit verbundenen
Rückforderung der geltend gemachten Erhöhungen, ausgegangen werden,
dazu muss man den gesamten Vertrag und die Verhältnisse
überprüfen.</w:t>
            </w:r>
          </w:p>
          <w:p>
            <w:pPr>
              <w:widowControl w:val="on"/>
              <w:pBdr/>
              <w:spacing w:before="0" w:after="0" w:line="288" w:lineRule="auto"/>
              <w:ind w:left="0" w:right="0"/>
              <w:jc w:val="left"/>
              <w:textAlignment w:val="top"/>
            </w:pPr>
            <w:r>
              <w:rPr>
                <w:rFonts w:ascii="Arial" w:hAnsi="Arial" w:eastAsia="Arial" w:cs="Arial"/>
                <w:color w:val="277DB9"/>
                <w:position w:val="0"/>
                <w:sz w:val="25"/>
                <w:szCs w:val="25"/>
              </w:rPr>
              <w:t xml:space="preserve">Hinweis:</w:t>
            </w:r>
          </w:p>
          <w:p>
            <w:pPr>
              <w:widowControl w:val="on"/>
              <w:pBdr/>
              <w:spacing w:before="0" w:after="0" w:line="288" w:lineRule="auto"/>
              <w:ind w:left="0" w:right="0"/>
              <w:jc w:val="left"/>
              <w:textAlignment w:val="top"/>
            </w:pPr>
            <w:r>
              <w:rPr>
                <w:rFonts w:ascii="Arial" w:hAnsi="Arial" w:eastAsia="Arial" w:cs="Arial"/>
                <w:color w:val="277DB9"/>
                <w:position w:val="0"/>
                <w:sz w:val="20"/>
                <w:szCs w:val="20"/>
              </w:rPr>
              <w:t xml:space="preserve">Eine aktuelle Entscheidung des OGH macht nun deutlich, dass
nicht dem § 6 Abs 2 Z 4 KSchG entsprechende
Wertsicherungsklauseln in Mietverträgen nicht gleich zur Aufhebung
der gesamten Klausel (und somit nicht angepasste Mietzinse seit
Mietbeginn) führen müssen.</w:t>
            </w:r>
          </w:p>
          <w:p>
            <w:pPr>
              <w:widowControl w:val="on"/>
              <w:pBdr/>
              <w:spacing w:before="0" w:after="0" w:line="288" w:lineRule="auto"/>
              <w:ind w:left="0" w:right="0"/>
              <w:jc w:val="left"/>
              <w:textAlignment w:val="top"/>
            </w:pPr>
            <w:r>
              <w:rPr>
                <w:rFonts w:ascii="Arial" w:hAnsi="Arial" w:eastAsia="Arial" w:cs="Arial"/>
                <w:color w:val="277DB9"/>
                <w:position w:val="0"/>
                <w:sz w:val="20"/>
                <w:szCs w:val="20"/>
              </w:rPr>
              <w:t xml:space="preserve">Am 30.07.2025 entschied der OGH (10 Ob 15/25s) in
bemerkenswerter Abkehr von den bisherigen Entscheidungen in einem
„Wertsicherungsklausel-Prüfungsfall“ und schaffte damit Klarheit
für alle künftigen Streite bezüglich Anwendung der infrage
gestellten KSchG- Bestimmung.</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Conclusio der </w:t>
            </w:r>
            <w:r>
              <w:rPr>
                <w:rFonts w:ascii="Arial" w:hAnsi="Arial" w:eastAsia="Arial" w:cs="Arial"/>
                <w:color w:val="000000"/>
                <w:position w:val="0"/>
                <w:sz w:val="20"/>
                <w:szCs w:val="20"/>
              </w:rPr>
              <w:t xml:space="preserve">OGH-Entscheidung</w:t>
            </w:r>
            <w:r>
              <w:rPr>
                <w:rFonts w:ascii="Arial" w:hAnsi="Arial" w:eastAsia="Arial" w:cs="Arial"/>
                <w:color w:val="000000"/>
                <w:position w:val="0"/>
                <w:sz w:val="20"/>
                <w:szCs w:val="20"/>
              </w:rPr>
              <w:t xml:space="preserve">
(30.07.2025, 10 Ob 15/25s):</w:t>
            </w:r>
          </w:p>
          <w:p>
            <w:pPr>
              <w:numPr>
                <w:ilvl w:val="0"/>
                <w:numId w:val="640998085"/>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Klarstellung: § 6 Abs 2 Z 4 KSchG nicht
anwendbar auf Dauerschuldverhältnisse, die länger als 2 Monate
dauern (zB Mietverträge)</w:t>
            </w:r>
          </w:p>
          <w:p>
            <w:pPr>
              <w:numPr>
                <w:ilvl w:val="0"/>
                <w:numId w:val="640998085"/>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Nachdem Wohnungsmietverträgen in der Regel mindestens drei
Jahre andauern müssen (zumindest im Teil und Vollanwendungsbereich
des MRG) können Wertsicherungsklauseln nur aufgrund der allgemeinen
Grundsätze für Vertragsbestimmungen geprüft werden und sind nicht
„automatisch“ anfechtbar, weil der 2-Monate-Hinweis nicht enthalten
ist.</w:t>
            </w:r>
          </w:p>
          <w:p>
            <w:pPr>
              <w:widowControl w:val="on"/>
              <w:pBdr/>
              <w:spacing w:before="0" w:after="0" w:line="288" w:lineRule="auto"/>
              <w:ind w:left="0" w:right="0"/>
              <w:jc w:val="left"/>
              <w:textAlignment w:val="top"/>
            </w:pPr>
            <w:r>
              <w:rPr>
                <w:rFonts w:ascii="Arial" w:hAnsi="Arial" w:eastAsia="Arial" w:cs="Arial"/>
                <w:color w:val="277DB9"/>
                <w:position w:val="0"/>
                <w:sz w:val="25"/>
                <w:szCs w:val="25"/>
              </w:rPr>
              <w:t xml:space="preserve">Beispiele: (aus Verbandsklagen entnommen) für unzulässige
Klauseln</w:t>
            </w:r>
          </w:p>
          <w:p>
            <w:pPr>
              <w:numPr>
                <w:ilvl w:val="0"/>
                <w:numId w:val="883143116"/>
              </w:numPr>
              <w:spacing w:before="0" w:after="0" w:line="288" w:lineRule="auto"/>
              <w:jc w:val="left"/>
              <w:rPr>
                <w:rFonts w:ascii="Arial" w:hAnsi="Arial" w:eastAsia="Arial" w:cs="Arial"/>
                <w:color w:val="277DB9"/>
                <w:sz w:val="20"/>
                <w:szCs w:val="20"/>
              </w:rPr>
            </w:pPr>
            <w:r>
              <w:rPr>
                <w:rFonts w:ascii="Arial" w:hAnsi="Arial" w:eastAsia="Arial" w:cs="Arial"/>
                <w:color w:val="277DB9"/>
                <w:position w:val="0"/>
                <w:sz w:val="20"/>
                <w:szCs w:val="20"/>
              </w:rPr>
              <w:t xml:space="preserve">Unklare, mehrdeutige oder versteckt formulierte Klausel – es
fehlen konkrete Bezugsgrößen oder Stichtage</w:t>
            </w:r>
          </w:p>
          <w:p>
            <w:pPr>
              <w:numPr>
                <w:ilvl w:val="0"/>
                <w:numId w:val="883143116"/>
              </w:numPr>
              <w:spacing w:before="0" w:after="0" w:line="288" w:lineRule="auto"/>
              <w:jc w:val="left"/>
              <w:rPr>
                <w:rFonts w:ascii="Arial" w:hAnsi="Arial" w:eastAsia="Arial" w:cs="Arial"/>
                <w:color w:val="277DB9"/>
                <w:sz w:val="20"/>
                <w:szCs w:val="20"/>
              </w:rPr>
            </w:pPr>
            <w:r>
              <w:rPr>
                <w:rFonts w:ascii="Arial" w:hAnsi="Arial" w:eastAsia="Arial" w:cs="Arial"/>
                <w:color w:val="277DB9"/>
                <w:position w:val="0"/>
                <w:sz w:val="20"/>
                <w:szCs w:val="20"/>
              </w:rPr>
              <w:t xml:space="preserve">Sittenwidrigkeit bzw unangemessene Benachteiligung: Klausel
verschiebt Preisrisiken unverhältnismäßig zulasten einer
Partei</w:t>
            </w:r>
          </w:p>
          <w:p>
            <w:pPr>
              <w:numPr>
                <w:ilvl w:val="0"/>
                <w:numId w:val="883143116"/>
              </w:numPr>
              <w:spacing w:before="0" w:after="0" w:line="288" w:lineRule="auto"/>
              <w:jc w:val="left"/>
              <w:rPr>
                <w:rFonts w:ascii="Arial" w:hAnsi="Arial" w:eastAsia="Arial" w:cs="Arial"/>
                <w:color w:val="277DB9"/>
                <w:sz w:val="20"/>
                <w:szCs w:val="20"/>
              </w:rPr>
            </w:pPr>
            <w:r>
              <w:rPr>
                <w:rFonts w:ascii="Arial" w:hAnsi="Arial" w:eastAsia="Arial" w:cs="Arial"/>
                <w:color w:val="277DB9"/>
                <w:position w:val="0"/>
                <w:sz w:val="20"/>
                <w:szCs w:val="20"/>
              </w:rPr>
              <w:t xml:space="preserve">Einseitigkeit: Klausel sieht nur Mietzinserhöhungen vor, stellt
aber keine entsprechende Senkung bei Indexrückgang in Aussicht</w:t>
            </w:r>
          </w:p>
          <w:p>
            <w:pPr>
              <w:numPr>
                <w:ilvl w:val="0"/>
                <w:numId w:val="883143116"/>
              </w:numPr>
              <w:spacing w:before="0" w:after="0" w:line="288" w:lineRule="auto"/>
              <w:jc w:val="left"/>
              <w:rPr>
                <w:rFonts w:ascii="Arial" w:hAnsi="Arial" w:eastAsia="Arial" w:cs="Arial"/>
                <w:color w:val="277DB9"/>
                <w:sz w:val="20"/>
                <w:szCs w:val="20"/>
              </w:rPr>
            </w:pPr>
            <w:r>
              <w:rPr>
                <w:rFonts w:ascii="Arial" w:hAnsi="Arial" w:eastAsia="Arial" w:cs="Arial"/>
                <w:color w:val="277DB9"/>
                <w:position w:val="0"/>
                <w:sz w:val="20"/>
                <w:szCs w:val="20"/>
              </w:rPr>
              <w:t xml:space="preserve">Unklare Ersatzindexregelung</w:t>
            </w:r>
          </w:p>
          <w:p>
            <w:pPr>
              <w:numPr>
                <w:ilvl w:val="0"/>
                <w:numId w:val="883143116"/>
              </w:numPr>
              <w:spacing w:before="0" w:after="0" w:line="288" w:lineRule="auto"/>
              <w:jc w:val="left"/>
              <w:rPr>
                <w:rFonts w:ascii="Arial" w:hAnsi="Arial" w:eastAsia="Arial" w:cs="Arial"/>
                <w:color w:val="277DB9"/>
                <w:sz w:val="20"/>
                <w:szCs w:val="20"/>
              </w:rPr>
            </w:pPr>
            <w:r>
              <w:rPr>
                <w:rFonts w:ascii="Arial" w:hAnsi="Arial" w:eastAsia="Arial" w:cs="Arial"/>
                <w:color w:val="277DB9"/>
                <w:position w:val="0"/>
                <w:sz w:val="20"/>
                <w:szCs w:val="20"/>
              </w:rPr>
              <w:t xml:space="preserve">Rückwirkende Anpassung: Klausel bezieht bereits vor
Vertragsabschluss eingetretene Indexänderungen ein (das Verwenden
einer zuletzt verlautbarten Indexzahl ist nicht problematisch)</w:t>
            </w:r>
          </w:p>
          <w:p>
            <w:pPr>
              <w:numPr>
                <w:ilvl w:val="0"/>
                <w:numId w:val="883143116"/>
              </w:numPr>
              <w:spacing w:before="0" w:after="0" w:line="288" w:lineRule="auto"/>
              <w:jc w:val="left"/>
              <w:rPr>
                <w:rFonts w:ascii="Arial" w:hAnsi="Arial" w:eastAsia="Arial" w:cs="Arial"/>
                <w:color w:val="277DB9"/>
                <w:sz w:val="20"/>
                <w:szCs w:val="20"/>
              </w:rPr>
            </w:pPr>
            <w:r>
              <w:rPr>
                <w:rFonts w:ascii="Arial" w:hAnsi="Arial" w:eastAsia="Arial" w:cs="Arial"/>
                <w:color w:val="277DB9"/>
                <w:position w:val="0"/>
                <w:sz w:val="20"/>
                <w:szCs w:val="20"/>
              </w:rPr>
              <w:t xml:space="preserve">Kein sachlicher Index: statt Verbraucherpreisindex wird der
Baukostenindex verwendet</w:t>
            </w:r>
          </w:p>
          <w:p>
            <w:pPr>
              <w:numPr>
                <w:ilvl w:val="0"/>
                <w:numId w:val="883143116"/>
              </w:numPr>
              <w:spacing w:before="0" w:after="0" w:line="288" w:lineRule="auto"/>
              <w:jc w:val="left"/>
              <w:rPr>
                <w:rFonts w:ascii="Arial" w:hAnsi="Arial" w:eastAsia="Arial" w:cs="Arial"/>
                <w:color w:val="277DB9"/>
                <w:sz w:val="20"/>
                <w:szCs w:val="20"/>
              </w:rPr>
            </w:pPr>
            <w:r>
              <w:rPr>
                <w:rFonts w:ascii="Arial" w:hAnsi="Arial" w:eastAsia="Arial" w:cs="Arial"/>
                <w:color w:val="277DB9"/>
                <w:position w:val="0"/>
                <w:sz w:val="20"/>
                <w:szCs w:val="20"/>
              </w:rPr>
              <w:t xml:space="preserve">Intransparente Formulierungen</w:t>
            </w:r>
          </w:p>
          <w:p>
            <w:pPr>
              <w:widowControl w:val="on"/>
              <w:pBdr/>
              <w:spacing w:before="0" w:after="0" w:line="288" w:lineRule="auto"/>
              <w:ind w:left="0" w:right="0"/>
              <w:jc w:val="left"/>
              <w:textAlignment w:val="top"/>
            </w:pPr>
            <w:r>
              <w:rPr>
                <w:rFonts w:ascii="Arial" w:hAnsi="Arial" w:eastAsia="Arial" w:cs="Arial"/>
                <w:color w:val="277DB9"/>
                <w:position w:val="0"/>
                <w:sz w:val="25"/>
                <w:szCs w:val="25"/>
              </w:rPr>
              <w:t xml:space="preserve">Hinweis:</w:t>
            </w:r>
          </w:p>
          <w:p>
            <w:pPr>
              <w:widowControl w:val="on"/>
              <w:pBdr/>
              <w:spacing w:before="0" w:after="0" w:line="288" w:lineRule="auto"/>
              <w:ind w:left="0" w:right="0"/>
              <w:jc w:val="left"/>
              <w:textAlignment w:val="top"/>
            </w:pPr>
            <w:r>
              <w:rPr>
                <w:rFonts w:ascii="Arial" w:hAnsi="Arial" w:eastAsia="Arial" w:cs="Arial"/>
                <w:color w:val="277DB9"/>
                <w:position w:val="0"/>
                <w:sz w:val="20"/>
                <w:szCs w:val="20"/>
              </w:rPr>
              <w:t xml:space="preserve">Für Individualverträge sind andere Maßstäbe anzusetzen, es kommt
– wie immer – auf den Einzelfall und die Verhältnisse an.</w:t>
            </w:r>
          </w:p>
          <w:p>
            <w:pPr>
              <w:widowControl w:val="on"/>
              <w:pBdr/>
              <w:spacing w:before="0" w:after="0" w:line="288" w:lineRule="auto"/>
              <w:ind w:left="0" w:right="0"/>
              <w:jc w:val="left"/>
              <w:textAlignment w:val="top"/>
            </w:pPr>
            <w:r>
              <w:rPr>
                <w:rFonts w:ascii="Arial" w:hAnsi="Arial" w:eastAsia="Arial" w:cs="Arial"/>
                <w:color w:val="277DB9"/>
                <w:position w:val="0"/>
                <w:sz w:val="25"/>
                <w:szCs w:val="25"/>
              </w:rPr>
              <w:t xml:space="preserve">Praxistipp:</w:t>
            </w:r>
          </w:p>
          <w:p>
            <w:pPr>
              <w:numPr>
                <w:ilvl w:val="0"/>
                <w:numId w:val="157870702"/>
              </w:numPr>
              <w:spacing w:before="0" w:after="0" w:line="288" w:lineRule="auto"/>
              <w:jc w:val="left"/>
              <w:rPr>
                <w:rFonts w:ascii="Arial" w:hAnsi="Arial" w:eastAsia="Arial" w:cs="Arial"/>
                <w:color w:val="277DB9"/>
                <w:sz w:val="20"/>
                <w:szCs w:val="20"/>
              </w:rPr>
            </w:pPr>
            <w:r>
              <w:rPr>
                <w:rFonts w:ascii="Arial" w:hAnsi="Arial" w:eastAsia="Arial" w:cs="Arial"/>
                <w:color w:val="277DB9"/>
                <w:position w:val="0"/>
                <w:sz w:val="20"/>
                <w:szCs w:val="20"/>
              </w:rPr>
              <w:t xml:space="preserve">Klare, eindeutige Formulierung mit Stichtag für erste
Anpassung</w:t>
            </w:r>
          </w:p>
          <w:p>
            <w:pPr>
              <w:numPr>
                <w:ilvl w:val="0"/>
                <w:numId w:val="157870702"/>
              </w:numPr>
              <w:spacing w:before="0" w:after="0" w:line="288" w:lineRule="auto"/>
              <w:jc w:val="left"/>
              <w:rPr>
                <w:rFonts w:ascii="Arial" w:hAnsi="Arial" w:eastAsia="Arial" w:cs="Arial"/>
                <w:color w:val="277DB9"/>
                <w:sz w:val="20"/>
                <w:szCs w:val="20"/>
              </w:rPr>
            </w:pPr>
            <w:r>
              <w:rPr>
                <w:rFonts w:ascii="Arial" w:hAnsi="Arial" w:eastAsia="Arial" w:cs="Arial"/>
                <w:color w:val="277DB9"/>
                <w:position w:val="0"/>
                <w:sz w:val="20"/>
                <w:szCs w:val="20"/>
              </w:rPr>
              <w:t xml:space="preserve">Empfehlenswert: nur jährliche Anpassung, nicht monatlich</w:t>
            </w:r>
          </w:p>
          <w:p>
            <w:pPr>
              <w:numPr>
                <w:ilvl w:val="0"/>
                <w:numId w:val="157870702"/>
              </w:numPr>
              <w:spacing w:before="0" w:after="0" w:line="288" w:lineRule="auto"/>
              <w:jc w:val="left"/>
              <w:rPr>
                <w:rFonts w:ascii="Arial" w:hAnsi="Arial" w:eastAsia="Arial" w:cs="Arial"/>
                <w:color w:val="277DB9"/>
                <w:sz w:val="20"/>
                <w:szCs w:val="20"/>
              </w:rPr>
            </w:pPr>
            <w:r>
              <w:rPr>
                <w:rFonts w:ascii="Arial" w:hAnsi="Arial" w:eastAsia="Arial" w:cs="Arial"/>
                <w:color w:val="277DB9"/>
                <w:position w:val="0"/>
                <w:sz w:val="20"/>
                <w:szCs w:val="20"/>
              </w:rPr>
              <w:t xml:space="preserve">Für Mieter: Rückforderung prüfen, aber Einzelfallbewertung
notwendig</w:t>
            </w:r>
          </w:p>
        </w:tc>
      </w:tr>
    </w:tbl>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57870702">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883143116">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640998085">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171558062">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260380542">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98798123">
    <w:multiLevelType w:val="hybridMultilevel"/>
    <w:lvl w:ilvl="0" w:tplc="80400567">
      <w:start w:val="1"/>
      <w:numFmt w:val="decimal"/>
      <w:lvlText w:val="%1."/>
      <w:lvlJc w:val="left"/>
      <w:pPr>
        <w:ind w:left="720" w:hanging="360"/>
      </w:pPr>
    </w:lvl>
    <w:lvl w:ilvl="1" w:tplc="80400567" w:tentative="1">
      <w:start w:val="1"/>
      <w:numFmt w:val="lowerLetter"/>
      <w:lvlText w:val="%2."/>
      <w:lvlJc w:val="left"/>
      <w:pPr>
        <w:ind w:left="1440" w:hanging="360"/>
      </w:pPr>
    </w:lvl>
    <w:lvl w:ilvl="2" w:tplc="80400567" w:tentative="1">
      <w:start w:val="1"/>
      <w:numFmt w:val="lowerRoman"/>
      <w:lvlText w:val="%3."/>
      <w:lvlJc w:val="right"/>
      <w:pPr>
        <w:ind w:left="2160" w:hanging="180"/>
      </w:pPr>
    </w:lvl>
    <w:lvl w:ilvl="3" w:tplc="80400567" w:tentative="1">
      <w:start w:val="1"/>
      <w:numFmt w:val="decimal"/>
      <w:lvlText w:val="%4."/>
      <w:lvlJc w:val="left"/>
      <w:pPr>
        <w:ind w:left="2880" w:hanging="360"/>
      </w:pPr>
    </w:lvl>
    <w:lvl w:ilvl="4" w:tplc="80400567" w:tentative="1">
      <w:start w:val="1"/>
      <w:numFmt w:val="lowerLetter"/>
      <w:lvlText w:val="%5."/>
      <w:lvlJc w:val="left"/>
      <w:pPr>
        <w:ind w:left="3600" w:hanging="360"/>
      </w:pPr>
    </w:lvl>
    <w:lvl w:ilvl="5" w:tplc="80400567" w:tentative="1">
      <w:start w:val="1"/>
      <w:numFmt w:val="lowerRoman"/>
      <w:lvlText w:val="%6."/>
      <w:lvlJc w:val="right"/>
      <w:pPr>
        <w:ind w:left="4320" w:hanging="180"/>
      </w:pPr>
    </w:lvl>
    <w:lvl w:ilvl="6" w:tplc="80400567" w:tentative="1">
      <w:start w:val="1"/>
      <w:numFmt w:val="decimal"/>
      <w:lvlText w:val="%7."/>
      <w:lvlJc w:val="left"/>
      <w:pPr>
        <w:ind w:left="5040" w:hanging="360"/>
      </w:pPr>
    </w:lvl>
    <w:lvl w:ilvl="7" w:tplc="80400567" w:tentative="1">
      <w:start w:val="1"/>
      <w:numFmt w:val="lowerLetter"/>
      <w:lvlText w:val="%8."/>
      <w:lvlJc w:val="left"/>
      <w:pPr>
        <w:ind w:left="5760" w:hanging="360"/>
      </w:pPr>
    </w:lvl>
    <w:lvl w:ilvl="8" w:tplc="80400567" w:tentative="1">
      <w:start w:val="1"/>
      <w:numFmt w:val="lowerRoman"/>
      <w:lvlText w:val="%9."/>
      <w:lvlJc w:val="right"/>
      <w:pPr>
        <w:ind w:left="6480" w:hanging="180"/>
      </w:pPr>
    </w:lvl>
  </w:abstractNum>
  <w:abstractNum w:abstractNumId="98798122">
    <w:multiLevelType w:val="hybridMultilevel"/>
    <w:lvl w:ilvl="0" w:tplc="5665407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8798122">
    <w:abstractNumId w:val="98798122"/>
  </w:num>
  <w:num w:numId="98798123">
    <w:abstractNumId w:val="98798123"/>
  </w:num>
  <w:num w:numId="260380542">
    <w:abstractNumId w:val="260380542"/>
  </w:num>
  <w:num w:numId="171558062">
    <w:abstractNumId w:val="171558062"/>
  </w:num>
  <w:num w:numId="640998085">
    <w:abstractNumId w:val="640998085"/>
  </w:num>
  <w:num w:numId="883143116">
    <w:abstractNumId w:val="883143116"/>
  </w:num>
  <w:num w:numId="157870702">
    <w:abstractNumId w:val="15787070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707473872" Type="http://schemas.openxmlformats.org/officeDocument/2006/relationships/numbering" Target="numbering.xml"/><Relationship Id="rId245752141"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